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CellSpacing w:w="0" w:type="dxa"/>
        <w:tblCellMar>
          <w:left w:w="0" w:type="dxa"/>
          <w:right w:w="0" w:type="dxa"/>
        </w:tblCellMar>
        <w:tblLook w:val="04A0" w:firstRow="1" w:lastRow="0" w:firstColumn="1" w:lastColumn="0" w:noHBand="0" w:noVBand="1"/>
      </w:tblPr>
      <w:tblGrid>
        <w:gridCol w:w="9360"/>
      </w:tblGrid>
      <w:tr w:rsidR="00BB3022" w:rsidRPr="000316D3" w:rsidTr="00BB3022">
        <w:trPr>
          <w:tblCellSpacing w:w="0" w:type="dxa"/>
          <w:jc w:val="center"/>
        </w:trPr>
        <w:tc>
          <w:tcPr>
            <w:tcW w:w="0" w:type="auto"/>
            <w:vAlign w:val="center"/>
            <w:hideMark/>
          </w:tcPr>
          <w:tbl>
            <w:tblPr>
              <w:tblW w:w="5000" w:type="pct"/>
              <w:tblCellSpacing w:w="0" w:type="dxa"/>
              <w:shd w:val="clear" w:color="auto" w:fill="003C5A"/>
              <w:tblCellMar>
                <w:left w:w="0" w:type="dxa"/>
                <w:right w:w="0" w:type="dxa"/>
              </w:tblCellMar>
              <w:tblLook w:val="04A0" w:firstRow="1" w:lastRow="0" w:firstColumn="1" w:lastColumn="0" w:noHBand="0" w:noVBand="1"/>
            </w:tblPr>
            <w:tblGrid>
              <w:gridCol w:w="9360"/>
            </w:tblGrid>
            <w:tr w:rsidR="00BB3022" w:rsidRPr="000316D3">
              <w:trPr>
                <w:tblCellSpacing w:w="0" w:type="dxa"/>
              </w:trPr>
              <w:tc>
                <w:tcPr>
                  <w:tcW w:w="0" w:type="auto"/>
                  <w:shd w:val="clear" w:color="auto" w:fill="003C5A"/>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r w:rsidRPr="000316D3">
                    <w:rPr>
                      <w:rFonts w:ascii="Verdana" w:eastAsia="Times New Roman" w:hAnsi="Verdana" w:cs="Times New Roman"/>
                      <w:noProof/>
                      <w:color w:val="000000"/>
                      <w:sz w:val="15"/>
                      <w:szCs w:val="15"/>
                      <w:lang w:val="bg-BG" w:eastAsia="bg-BG"/>
                    </w:rPr>
                    <w:drawing>
                      <wp:inline distT="0" distB="0" distL="0" distR="0" wp14:anchorId="3CAD2B84" wp14:editId="2771F385">
                        <wp:extent cx="9525" cy="9525"/>
                        <wp:effectExtent l="0" t="0" r="0" b="0"/>
                        <wp:docPr id="5" name="Картина 5" descr="http://dv.parliament.bg/DVWeb/img/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v.parliament.bg/DVWeb/img/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B3022" w:rsidRPr="000316D3">
              <w:trPr>
                <w:tblCellSpacing w:w="0" w:type="dxa"/>
              </w:trPr>
              <w:tc>
                <w:tcPr>
                  <w:tcW w:w="0" w:type="auto"/>
                  <w:shd w:val="clear" w:color="auto" w:fill="003C5A"/>
                  <w:vAlign w:val="center"/>
                  <w:hideMark/>
                </w:tcPr>
                <w:p w:rsidR="00BB3022" w:rsidRPr="000316D3" w:rsidRDefault="00BB3022" w:rsidP="00BB3022">
                  <w:pPr>
                    <w:spacing w:after="0" w:line="240" w:lineRule="auto"/>
                    <w:jc w:val="right"/>
                    <w:rPr>
                      <w:rFonts w:ascii="Verdana" w:eastAsia="Times New Roman" w:hAnsi="Verdana" w:cs="Times New Roman"/>
                      <w:color w:val="000000"/>
                      <w:sz w:val="15"/>
                      <w:szCs w:val="15"/>
                      <w:lang w:val="bg-BG"/>
                    </w:rPr>
                  </w:pPr>
                  <w:r w:rsidRPr="000316D3">
                    <w:rPr>
                      <w:rFonts w:ascii="Verdana" w:eastAsia="Times New Roman" w:hAnsi="Verdana" w:cs="Times New Roman"/>
                      <w:color w:val="000000"/>
                      <w:sz w:val="15"/>
                      <w:szCs w:val="15"/>
                      <w:lang w:val="bg-BG"/>
                    </w:rPr>
                    <w:t> </w:t>
                  </w:r>
                </w:p>
              </w:tc>
            </w:tr>
          </w:tbl>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r w:rsidR="00BB3022" w:rsidRPr="000316D3" w:rsidTr="00BB3022">
        <w:trPr>
          <w:tblCellSpacing w:w="0" w:type="dxa"/>
          <w:jc w:val="center"/>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r w:rsidR="00BB3022" w:rsidRPr="000316D3" w:rsidTr="00BB3022">
        <w:trPr>
          <w:tblCellSpacing w:w="0" w:type="dxa"/>
          <w:jc w:val="center"/>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r w:rsidR="00BB3022" w:rsidRPr="00700BB9" w:rsidTr="00BB3022">
        <w:trPr>
          <w:tblCellSpacing w:w="0" w:type="dxa"/>
          <w:jc w:val="center"/>
        </w:trPr>
        <w:tc>
          <w:tcPr>
            <w:tcW w:w="0" w:type="auto"/>
            <w:vAlign w:val="center"/>
            <w:hideMark/>
          </w:tcPr>
          <w:tbl>
            <w:tblPr>
              <w:tblW w:w="0" w:type="auto"/>
              <w:jc w:val="center"/>
              <w:tblCellSpacing w:w="7" w:type="dxa"/>
              <w:tblCellMar>
                <w:left w:w="0" w:type="dxa"/>
                <w:right w:w="0" w:type="dxa"/>
              </w:tblCellMar>
              <w:tblLook w:val="04A0" w:firstRow="1" w:lastRow="0" w:firstColumn="1" w:lastColumn="0" w:noHBand="0" w:noVBand="1"/>
            </w:tblPr>
            <w:tblGrid>
              <w:gridCol w:w="9360"/>
            </w:tblGrid>
            <w:tr w:rsidR="00BB3022" w:rsidRPr="000316D3">
              <w:trPr>
                <w:tblCellSpacing w:w="7" w:type="dxa"/>
                <w:jc w:val="center"/>
              </w:trPr>
              <w:tc>
                <w:tcPr>
                  <w:tcW w:w="0" w:type="auto"/>
                  <w:vAlign w:val="center"/>
                  <w:hideMark/>
                </w:tcPr>
                <w:p w:rsidR="00BB3022" w:rsidRPr="000316D3" w:rsidRDefault="00BB3022" w:rsidP="00BB3022">
                  <w:pPr>
                    <w:spacing w:after="0" w:line="240" w:lineRule="auto"/>
                    <w:rPr>
                      <w:rFonts w:ascii="Trebuchet MS" w:eastAsia="Times New Roman" w:hAnsi="Trebuchet MS" w:cs="Times New Roman"/>
                      <w:b/>
                      <w:bCs/>
                      <w:color w:val="003C5A"/>
                      <w:sz w:val="20"/>
                      <w:szCs w:val="20"/>
                      <w:lang w:val="bg-BG"/>
                    </w:rPr>
                  </w:pPr>
                  <w:r w:rsidRPr="000316D3">
                    <w:rPr>
                      <w:rFonts w:ascii="Trebuchet MS" w:eastAsia="Times New Roman" w:hAnsi="Trebuchet MS" w:cs="Times New Roman"/>
                      <w:b/>
                      <w:bCs/>
                      <w:noProof/>
                      <w:color w:val="003C5A"/>
                      <w:sz w:val="20"/>
                      <w:szCs w:val="20"/>
                      <w:lang w:val="bg-BG" w:eastAsia="bg-BG"/>
                    </w:rPr>
                    <w:drawing>
                      <wp:inline distT="0" distB="0" distL="0" distR="0" wp14:anchorId="5A6B400B" wp14:editId="6EDF84D0">
                        <wp:extent cx="285750" cy="190500"/>
                        <wp:effectExtent l="0" t="0" r="0" b="0"/>
                        <wp:docPr id="6" name="Картина 6" descr="http://dv.parliament.bg/DVWeb/img/news_ic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v.parliament.bg/DVWeb/img/news_ic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p>
                <w:p w:rsidR="00BB3022" w:rsidRPr="000316D3" w:rsidRDefault="00BB3022" w:rsidP="00BB3022">
                  <w:pPr>
                    <w:spacing w:after="0" w:line="240" w:lineRule="auto"/>
                    <w:rPr>
                      <w:rFonts w:ascii="Trebuchet MS" w:eastAsia="Times New Roman" w:hAnsi="Trebuchet MS" w:cs="Times New Roman"/>
                      <w:b/>
                      <w:bCs/>
                      <w:color w:val="003C5A"/>
                      <w:sz w:val="20"/>
                      <w:szCs w:val="20"/>
                      <w:lang w:val="bg-BG"/>
                    </w:rPr>
                  </w:pPr>
                  <w:r w:rsidRPr="000316D3">
                    <w:rPr>
                      <w:rFonts w:ascii="Trebuchet MS" w:eastAsia="Times New Roman" w:hAnsi="Trebuchet MS" w:cs="Times New Roman"/>
                      <w:b/>
                      <w:bCs/>
                      <w:color w:val="003C5A"/>
                      <w:sz w:val="20"/>
                      <w:szCs w:val="20"/>
                      <w:lang w:val="bg-BG"/>
                    </w:rPr>
                    <w:t>          Народно събрание</w:t>
                  </w:r>
                </w:p>
              </w:tc>
            </w:tr>
            <w:tr w:rsidR="00BB3022" w:rsidRPr="000316D3">
              <w:trPr>
                <w:tblCellSpacing w:w="7"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23"/>
                    <w:gridCol w:w="609"/>
                  </w:tblGrid>
                  <w:tr w:rsidR="00BB3022" w:rsidRPr="000316D3">
                    <w:trPr>
                      <w:tblCellSpacing w:w="0" w:type="dxa"/>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r w:rsidRPr="000316D3">
                          <w:rPr>
                            <w:rFonts w:ascii="Trebuchet MS" w:eastAsia="Times New Roman" w:hAnsi="Trebuchet MS" w:cs="Times New Roman"/>
                            <w:color w:val="8E8E8E"/>
                            <w:sz w:val="15"/>
                            <w:szCs w:val="15"/>
                            <w:lang w:val="bg-BG"/>
                          </w:rPr>
                          <w:t>брой: 61, от дата 11.8.2015 г.   Официален раздел / НАРОДНО СЪБРАНИЕ</w:t>
                        </w:r>
                      </w:p>
                    </w:tc>
                    <w:tc>
                      <w:tcPr>
                        <w:tcW w:w="0" w:type="auto"/>
                        <w:vAlign w:val="center"/>
                        <w:hideMark/>
                      </w:tcPr>
                      <w:p w:rsidR="00BB3022" w:rsidRPr="000316D3" w:rsidRDefault="00BB3022" w:rsidP="00BB3022">
                        <w:pPr>
                          <w:spacing w:after="0" w:line="240" w:lineRule="auto"/>
                          <w:jc w:val="right"/>
                          <w:rPr>
                            <w:rFonts w:ascii="Verdana" w:eastAsia="Times New Roman" w:hAnsi="Verdana" w:cs="Times New Roman"/>
                            <w:color w:val="000000"/>
                            <w:sz w:val="15"/>
                            <w:szCs w:val="15"/>
                            <w:lang w:val="bg-BG"/>
                          </w:rPr>
                        </w:pPr>
                        <w:r w:rsidRPr="000316D3">
                          <w:rPr>
                            <w:rFonts w:ascii="Trebuchet MS" w:eastAsia="Times New Roman" w:hAnsi="Trebuchet MS" w:cs="Times New Roman"/>
                            <w:color w:val="8E8E8E"/>
                            <w:sz w:val="15"/>
                            <w:szCs w:val="15"/>
                            <w:lang w:val="bg-BG"/>
                          </w:rPr>
                          <w:t>стр.2</w:t>
                        </w:r>
                      </w:p>
                    </w:tc>
                  </w:tr>
                </w:tbl>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r w:rsidR="00BB3022" w:rsidRPr="000316D3">
              <w:trPr>
                <w:tblCellSpacing w:w="7" w:type="dxa"/>
                <w:jc w:val="center"/>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r w:rsidR="00BB3022" w:rsidRPr="000316D3">
              <w:trPr>
                <w:tblCellSpacing w:w="7" w:type="dxa"/>
                <w:jc w:val="center"/>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r w:rsidR="00BB3022" w:rsidRPr="000316D3">
              <w:trPr>
                <w:tblCellSpacing w:w="7" w:type="dxa"/>
                <w:jc w:val="center"/>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r w:rsidRPr="000316D3">
                    <w:rPr>
                      <w:rFonts w:ascii="Trebuchet MS" w:eastAsia="Times New Roman" w:hAnsi="Trebuchet MS" w:cs="Times New Roman"/>
                      <w:b/>
                      <w:bCs/>
                      <w:color w:val="003C5A"/>
                      <w:sz w:val="20"/>
                      <w:szCs w:val="20"/>
                      <w:lang w:val="bg-BG"/>
                    </w:rPr>
                    <w:t>Закон за изменение и допълнение на Кодекса за социално осигуряване</w:t>
                  </w:r>
                </w:p>
              </w:tc>
            </w:tr>
            <w:tr w:rsidR="00BB3022" w:rsidRPr="000316D3">
              <w:trPr>
                <w:tblCellSpacing w:w="7" w:type="dxa"/>
                <w:jc w:val="center"/>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r w:rsidR="00BB3022" w:rsidRPr="00700BB9">
              <w:trPr>
                <w:tblCellSpacing w:w="7" w:type="dxa"/>
                <w:jc w:val="center"/>
              </w:trPr>
              <w:tc>
                <w:tcPr>
                  <w:tcW w:w="0" w:type="auto"/>
                  <w:vAlign w:val="center"/>
                  <w:hideMark/>
                </w:tcPr>
                <w:p w:rsidR="00BB3022" w:rsidRPr="000316D3" w:rsidRDefault="00BB3022" w:rsidP="00BB3022">
                  <w:pPr>
                    <w:spacing w:before="100" w:beforeAutospacing="1" w:after="100" w:afterAutospacing="1" w:line="240" w:lineRule="auto"/>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w:t>
                  </w:r>
                </w:p>
                <w:p w:rsidR="00BB3022" w:rsidRPr="000316D3" w:rsidRDefault="00BB3022" w:rsidP="00BB3022">
                  <w:pPr>
                    <w:keepNext/>
                    <w:spacing w:after="0"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УКАЗ № 153</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На основание чл. 98, т. 4 от Конституцията на Република България</w:t>
                  </w:r>
                </w:p>
                <w:p w:rsidR="00BB3022" w:rsidRPr="000316D3" w:rsidRDefault="00BB3022" w:rsidP="00BB3022">
                  <w:pPr>
                    <w:spacing w:after="57"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aps/>
                      <w:color w:val="000000"/>
                      <w:spacing w:val="38"/>
                      <w:sz w:val="17"/>
                      <w:szCs w:val="17"/>
                      <w:lang w:val="bg-BG"/>
                    </w:rPr>
                    <w:t>ПОСТАНОВЯВАМ:</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Да се обнародва в „Държавен вестник“ Законът за изменение и допълнение на Кодекса за социално осигуряване, приет от ХLІІI Народно събрание на 28 юли 2015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Издаден в София на 31 юли 2015 г.</w:t>
                  </w:r>
                </w:p>
                <w:p w:rsidR="00BB3022" w:rsidRPr="000316D3" w:rsidRDefault="00BB3022" w:rsidP="00BB3022">
                  <w:pPr>
                    <w:spacing w:after="0" w:line="220" w:lineRule="atLeast"/>
                    <w:ind w:firstLine="283"/>
                    <w:jc w:val="right"/>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5"/>
                      <w:sz w:val="17"/>
                      <w:szCs w:val="17"/>
                      <w:lang w:val="bg-BG"/>
                    </w:rPr>
                    <w:t>Президент на републиката: </w:t>
                  </w:r>
                  <w:r w:rsidRPr="000316D3">
                    <w:rPr>
                      <w:rFonts w:ascii="Verdana" w:eastAsia="Times New Roman" w:hAnsi="Verdana" w:cs="Times New Roman"/>
                      <w:b/>
                      <w:bCs/>
                      <w:color w:val="000000"/>
                      <w:sz w:val="17"/>
                      <w:szCs w:val="17"/>
                      <w:lang w:val="bg-BG"/>
                    </w:rPr>
                    <w:t>Росен</w:t>
                  </w:r>
                  <w:r w:rsidRPr="000316D3">
                    <w:rPr>
                      <w:rFonts w:ascii="Verdana" w:eastAsia="Times New Roman" w:hAnsi="Verdana" w:cs="Times New Roman"/>
                      <w:color w:val="000000"/>
                      <w:sz w:val="17"/>
                      <w:szCs w:val="17"/>
                      <w:lang w:val="bg-BG"/>
                    </w:rPr>
                    <w:t> </w:t>
                  </w:r>
                  <w:r w:rsidRPr="000316D3">
                    <w:rPr>
                      <w:rFonts w:ascii="Verdana" w:eastAsia="Times New Roman" w:hAnsi="Verdana" w:cs="Times New Roman"/>
                      <w:b/>
                      <w:bCs/>
                      <w:color w:val="000000"/>
                      <w:sz w:val="17"/>
                      <w:szCs w:val="17"/>
                      <w:lang w:val="bg-BG"/>
                    </w:rPr>
                    <w:t>Плевнелиев</w:t>
                  </w:r>
                </w:p>
                <w:p w:rsidR="00BB3022" w:rsidRPr="000316D3" w:rsidRDefault="00BB3022" w:rsidP="00BB3022">
                  <w:pPr>
                    <w:spacing w:after="0" w:line="185" w:lineRule="atLeast"/>
                    <w:ind w:firstLine="283"/>
                    <w:jc w:val="right"/>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Подпечатан с държавния печат.</w:t>
                  </w:r>
                </w:p>
                <w:p w:rsidR="00BB3022" w:rsidRPr="000316D3" w:rsidRDefault="00BB3022" w:rsidP="00BB3022">
                  <w:pPr>
                    <w:spacing w:after="0" w:line="185" w:lineRule="atLeast"/>
                    <w:ind w:firstLine="283"/>
                    <w:jc w:val="right"/>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Министър на правосъдието: </w:t>
                  </w:r>
                  <w:r w:rsidRPr="000316D3">
                    <w:rPr>
                      <w:rFonts w:ascii="Verdana" w:eastAsia="Times New Roman" w:hAnsi="Verdana" w:cs="Times New Roman"/>
                      <w:b/>
                      <w:bCs/>
                      <w:color w:val="000000"/>
                      <w:sz w:val="17"/>
                      <w:szCs w:val="17"/>
                      <w:lang w:val="bg-BG"/>
                    </w:rPr>
                    <w:t>Христо Иванов</w:t>
                  </w:r>
                </w:p>
                <w:p w:rsidR="00BB3022" w:rsidRPr="000316D3" w:rsidRDefault="00BB3022" w:rsidP="00BB3022">
                  <w:pPr>
                    <w:keepNext/>
                    <w:spacing w:after="0"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ЗАКОН</w:t>
                  </w:r>
                </w:p>
                <w:p w:rsidR="00BB3022" w:rsidRPr="000316D3" w:rsidRDefault="00BB3022" w:rsidP="00BB3022">
                  <w:pPr>
                    <w:keepNext/>
                    <w:spacing w:after="113"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за изменение и допълнение на Кодекса за социално осигуряване</w:t>
                  </w:r>
                  <w:r w:rsidRPr="000316D3">
                    <w:rPr>
                      <w:rFonts w:ascii="Verdana" w:eastAsia="Times New Roman" w:hAnsi="Verdana" w:cs="Times New Roman"/>
                      <w:color w:val="000000"/>
                      <w:sz w:val="17"/>
                      <w:szCs w:val="17"/>
                      <w:lang w:val="bg-BG"/>
                    </w:rPr>
                    <w:t> (обн., ДВ, бр. 110 от 1999 г.; Решение № 5 на Конституционния съд от 2000 г. – бр. 55 от 2000 г.; изм., бр. 64 от 2000 г., бр. 1, 35 и 41 от 2001 г., бр. 1, 10, 45, 74, 112, 119 и 120 от 2002 г., бр. 8, 42, 67, 95, 112 и 114 от 2003 г., бр. 12, 21, 38, 52, 53, 69, 70, 112 и 115 от 2004 г., бр. 38, 39, 76, 102, 103, 104 и 105 от 2005 г., бр. 17, 30, 34, 56, 57, 59 и 68 от 2006 г.; попр., бр. 76 от 2006 г.; изм., бр. 80, 82, 95, 102 и 105 от 2006 г., бр. 41, 52, 53, 64, 77, 97, 100, 109 и 113 от 2007 г., бр. 33, 43, 67, 69, 89, 102 и 109 от 2008 г., бр. 23, 25, 35, 41, 42, 93, 95, 99 и 103 от 2009 г., бр. 16, 19, 43, 49, 58, 59, 88, 97, 98 и 100 от 2010 г.; Решение № 7 на Конституционния съд от 2011 г. – бр. 45 от 2011 г.; изм., бр. 60, 77 и 100 от 2011 г., бр. 7, 21, 38, 40, 44, 58, 81, 89, 94 и 99 от 2012 г., бр. 15, 20, 70, 98, 104, 106, 109 и 111 от 2013 г., бр. 1, 18, 27, 35, 53 и 107 от 2014 г. и бр. 12, 14, 22 и 54 от 2015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 </w:t>
                  </w:r>
                  <w:r w:rsidRPr="000316D3">
                    <w:rPr>
                      <w:rFonts w:ascii="Verdana" w:eastAsia="Times New Roman" w:hAnsi="Verdana" w:cs="Times New Roman"/>
                      <w:color w:val="000000"/>
                      <w:sz w:val="17"/>
                      <w:szCs w:val="17"/>
                      <w:lang w:val="bg-BG"/>
                    </w:rPr>
                    <w:t>В чл. 2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В ал.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а) създава се нова т. 3:</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фонд „Пенсии за лицата по чл. 69“ за инвалидност поради общо заболяване, старост и смърт;“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б) досегашните т. 3 и 4 стават съответно т. 4 и 5.</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В ал. 3 след думата „Пенсии“ се поставя запетая и се добавя „Пенсии за лицата по чл. 69“ и думите „и „Безработица“ се заменят с „Безработица“ и Учителски пенсионен фонд“.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Създава се ал. 6:</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„(6) Учителите се осигуряват за старост и в Учителския пенсионен фонд с отделна осигурителна вноска.“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2. </w:t>
                  </w:r>
                  <w:r w:rsidRPr="000316D3">
                    <w:rPr>
                      <w:rFonts w:ascii="Verdana" w:eastAsia="Times New Roman" w:hAnsi="Verdana" w:cs="Times New Roman"/>
                      <w:color w:val="000000"/>
                      <w:spacing w:val="1"/>
                      <w:sz w:val="17"/>
                      <w:szCs w:val="17"/>
                      <w:lang w:val="bg-BG"/>
                    </w:rPr>
                    <w:t>В чл. 4, ал. 1, т. 4 след думите „Закона за отбраната и въоръжените сили на Република България“ се поставя запетая и се добавя „</w:t>
                  </w:r>
                  <w:proofErr w:type="spellStart"/>
                  <w:r w:rsidRPr="000316D3">
                    <w:rPr>
                      <w:rFonts w:ascii="Verdana" w:eastAsia="Times New Roman" w:hAnsi="Verdana" w:cs="Times New Roman"/>
                      <w:color w:val="000000"/>
                      <w:spacing w:val="1"/>
                      <w:sz w:val="17"/>
                      <w:szCs w:val="17"/>
                      <w:lang w:val="bg-BG"/>
                    </w:rPr>
                    <w:t>резервистите</w:t>
                  </w:r>
                  <w:proofErr w:type="spellEnd"/>
                  <w:r w:rsidRPr="000316D3">
                    <w:rPr>
                      <w:rFonts w:ascii="Verdana" w:eastAsia="Times New Roman" w:hAnsi="Verdana" w:cs="Times New Roman"/>
                      <w:color w:val="000000"/>
                      <w:spacing w:val="1"/>
                      <w:sz w:val="17"/>
                      <w:szCs w:val="17"/>
                      <w:lang w:val="bg-BG"/>
                    </w:rPr>
                    <w:t xml:space="preserve"> на активна служба по Закона за резерва на въоръжените сили на Република България“.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3.</w:t>
                  </w:r>
                  <w:r w:rsidRPr="000316D3">
                    <w:rPr>
                      <w:rFonts w:ascii="Verdana" w:eastAsia="Times New Roman" w:hAnsi="Verdana" w:cs="Times New Roman"/>
                      <w:color w:val="000000"/>
                      <w:spacing w:val="1"/>
                      <w:sz w:val="17"/>
                      <w:szCs w:val="17"/>
                      <w:lang w:val="bg-BG"/>
                    </w:rPr>
                    <w:t> В чл. 4а, ал. 3 се създават т. 6 и 7:</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„6. за морските лица, направили избор по чл. 4б, ал. 1, увеличената осигурителна вноска във фонд „Пенсии“ е с размера на вноската по чл. 157, ал. 1, т.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7. за морските лица, направили избор по чл. 4в, ал. 1, увеличената осигурителна вноска във фонд „Пенсии“ е със съответния размер на вноската по чл. 157, ал. 1, т.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w:t>
                  </w:r>
                  <w:r w:rsidRPr="000316D3">
                    <w:rPr>
                      <w:rFonts w:ascii="Verdana" w:eastAsia="Times New Roman" w:hAnsi="Verdana" w:cs="Times New Roman"/>
                      <w:color w:val="000000"/>
                      <w:spacing w:val="1"/>
                      <w:sz w:val="17"/>
                      <w:szCs w:val="17"/>
                      <w:lang w:val="bg-BG"/>
                    </w:rPr>
                    <w:t> Член 4б се изменя така:</w:t>
                  </w:r>
                </w:p>
                <w:p w:rsidR="00BB3022" w:rsidRPr="000316D3" w:rsidRDefault="00BB3022" w:rsidP="00BB3022">
                  <w:pPr>
                    <w:keepNext/>
                    <w:spacing w:after="28" w:line="185" w:lineRule="atLeast"/>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pacing w:val="1"/>
                      <w:sz w:val="17"/>
                      <w:szCs w:val="17"/>
                      <w:lang w:val="bg-BG"/>
                    </w:rPr>
                    <w:t>„Избор за промяна на осигуряване от допълнително задължително пенсионно осигуряване в универсален пенсионен фонд във фонд „Пенсии“ и във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Чл. 4б. (1) Осигурените в универсален пенсионен фонд лица имат право да изберат да променят осигуряването си от универсален пенсионен фонд във фонд „Пенсии“, съответно във фонд „Пенсии за лицата по чл. 69“, с увеличена осигурителна вноска в размера на осигурителната вноска за универсален пенсионен фонд не по-късно от 5 години преди възрастта по чл. 68, ал. 1 и ако не им е отпусната пенсия за осигурителен стаж и възраст.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Лицата по ал. 1 могат да упражнят правото си на избор след изтичане на една година от избора по чл. 124а.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Осигуряването на лицата по реда на ал. 1 възниква от първо число на месеца, следващ месеца на избора.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Изборът на осигуряване, редът и начинът за събиране и разпределение на увеличената осигурителна вноска за лицата по ал. 1 се уреждат с наредбата по чл. 179, ал. 3 от Данъчно-осигурителния процесуален кодекс.“</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 </w:t>
                  </w:r>
                  <w:r w:rsidRPr="000316D3">
                    <w:rPr>
                      <w:rFonts w:ascii="Verdana" w:eastAsia="Times New Roman" w:hAnsi="Verdana" w:cs="Times New Roman"/>
                      <w:color w:val="000000"/>
                      <w:spacing w:val="1"/>
                      <w:sz w:val="17"/>
                      <w:szCs w:val="17"/>
                      <w:lang w:val="bg-BG"/>
                    </w:rPr>
                    <w:t>Създава се чл. 4в:</w:t>
                  </w:r>
                </w:p>
                <w:p w:rsidR="00BB3022" w:rsidRPr="000316D3" w:rsidRDefault="00BB3022" w:rsidP="00BB3022">
                  <w:pPr>
                    <w:keepNext/>
                    <w:spacing w:after="28" w:line="185" w:lineRule="atLeast"/>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pacing w:val="1"/>
                      <w:sz w:val="17"/>
                      <w:szCs w:val="17"/>
                      <w:lang w:val="bg-BG"/>
                    </w:rPr>
                    <w:lastRenderedPageBreak/>
                    <w:t>„Избор за промяна на осигуряване от допълнително задължително пенсионно осигуряване в професионален пенсионен фонд във фонд „Пенсии“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Чл. 4в. (1) Осигурените в професионален пенсионен фонд лица имат право еднократно да променят осигуряването си от професионален пенсионен фонд във фонд „Пенсии“ с увеличена осигурителна вноска в размера на осигурителните вноски по чл. 157, ал. 1, т. 2, ако не им е отпусната пенсия за осигурителен стаж и възраст или професионална пенсия за ранно пенсиониране.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Изборът на осигуряване, редът и начинът за събиране и разпределение на увеличената осигурителна вноска за лицата по ал. 1 се уреждат с наредбата по чл. 179, ал. 3 от Данъчно-осигурителния процесуален кодекс.“</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6. </w:t>
                  </w:r>
                  <w:r w:rsidRPr="000316D3">
                    <w:rPr>
                      <w:rFonts w:ascii="Verdana" w:eastAsia="Times New Roman" w:hAnsi="Verdana" w:cs="Times New Roman"/>
                      <w:color w:val="000000"/>
                      <w:spacing w:val="1"/>
                      <w:sz w:val="17"/>
                      <w:szCs w:val="17"/>
                      <w:lang w:val="bg-BG"/>
                    </w:rPr>
                    <w:t>В чл. 5, ал. 1 и 2 думите „чл. 21, т. 5“ се заменят с „чл. 21, т. 4“.</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7.</w:t>
                  </w:r>
                  <w:r w:rsidRPr="000316D3">
                    <w:rPr>
                      <w:rFonts w:ascii="Verdana" w:eastAsia="Times New Roman" w:hAnsi="Verdana" w:cs="Times New Roman"/>
                      <w:color w:val="000000"/>
                      <w:spacing w:val="1"/>
                      <w:sz w:val="17"/>
                      <w:szCs w:val="17"/>
                      <w:lang w:val="bg-BG"/>
                    </w:rPr>
                    <w:t> В чл. 6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в т. 1 думите „за фонд „Пенсии“ се заменят със „за фонд „Пенсии“, съответно за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в т. 2 думите „за фонд „Пенсии“ се заменят със „за фонд „Пенсии“, съответно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в) точка 4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осигурителната вноска за фонд „Пенсии“ се увеличава, както следва: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от 1 януари 2017 г. – с 1 процентен пункт, от който 0,56 за сметка на осигурителя и 0,44 за сметка на осигуреното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от 1 януари 2018 г. – с 1 процентен пункт, от който 0,56 за сметка на осигурителя и 0,44 за сметка на осигуреното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В ал. 3 се създават т. 10 и 11: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„10. за лицата по чл. 4б, ал. 1, които са избрали да променят осигуряването си от универсален пенсионен фонд във фонд „Пенсии“, съответно във фонд „Пенсии за лицата по чл. 69“, увеличената осигурителна вноска във фонд „Пенсии“, съответно във фонд „Пенсии за лицата по чл. 69“, е с размера на вноската по чл. 157, ал. 1, т. 1; вноската се разпределя между осигурителя и осигуреното лице в размерите по чл. 157, ал. 3;</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11. за лицата по чл. 4в, ал. 1, които са избрали да променят осигуряването си от професионален пенсионен фонд във фонд „Пенсии“, увеличената осигурителна вноска във фонд „Пенсии“ е с размера на вноската по чл. 157, ал. 1, т.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Създава се нова ал. 7:</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„(7) Осигурителната вноска за Учителския пенсионен фонд е в размер 4,3 на сто и е изцяло за сметка на осигурителя.“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Досегашната ал. 7 става ал. 8.</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5. Досегашната ал. 8 става ал. 9 и в нея думите „ал. 7“ се заменят с „ал. 8“.</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6. Досегашните ал. 9 и 10 стават съответно ал. 10 и 11.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7. Досегашната ал. 11 става ал. 12 и в нея след думите „фонд „Пенсии“ се поставя запетая и се добавя „съответно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8. Досегашните ал. 12 и 13 стават съответно ал. 13 и 14.</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9. Досегашната ал. 14 става ал. 15 и в нея думите „ал. 8“ се заменят с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10. Досегашната ал. 15 става ал. 16.</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8.</w:t>
                  </w:r>
                  <w:r w:rsidRPr="000316D3">
                    <w:rPr>
                      <w:rFonts w:ascii="Verdana" w:eastAsia="Times New Roman" w:hAnsi="Verdana" w:cs="Times New Roman"/>
                      <w:color w:val="000000"/>
                      <w:spacing w:val="1"/>
                      <w:sz w:val="17"/>
                      <w:szCs w:val="17"/>
                      <w:lang w:val="bg-BG"/>
                    </w:rPr>
                    <w:t> В чл. 9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ал. 5 след думите „фонд „Пенсии“ се поставя запетая и се добавя „съответно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Алинея 6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„(6) За осигурителен стаж при пенсиониране се зачита времето, през което са полагани грижи за лица с трайно намалена работоспособност/вид и степен на увреждане над 90 на сто, които постоянно се нуждаят от чужда помощ, от техните съпруг (съпруга), родител (осиновител) или един от родителите на майката или бащата на лицето с увреждане. Осигурителен стаж се зачита, при условие че за това време лицата не са били осигурени или не са получавали пенсия. При пенсиониране за периода, който се зачита за осигурителен стаж, се внасят осигурителни вноски в размера за фонд „Пенсии“ върху минималната работна заплата към датата на отпускането на пенсия, които са за сметка на държавния бюджет.“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Алинеи 8, 9 и 10 се отменят.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9.</w:t>
                  </w:r>
                  <w:r w:rsidRPr="000316D3">
                    <w:rPr>
                      <w:rFonts w:ascii="Verdana" w:eastAsia="Times New Roman" w:hAnsi="Verdana" w:cs="Times New Roman"/>
                      <w:color w:val="000000"/>
                      <w:spacing w:val="1"/>
                      <w:sz w:val="17"/>
                      <w:szCs w:val="17"/>
                      <w:lang w:val="bg-BG"/>
                    </w:rPr>
                    <w:t> В чл. 18, ал. 1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Създава се нова т.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Досегашните т. 2, 3, 4 и 5 стават съответно т. 3, 4, 5 и 6.</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10.</w:t>
                  </w:r>
                  <w:r w:rsidRPr="000316D3">
                    <w:rPr>
                      <w:rFonts w:ascii="Verdana" w:eastAsia="Times New Roman" w:hAnsi="Verdana" w:cs="Times New Roman"/>
                      <w:color w:val="000000"/>
                      <w:spacing w:val="1"/>
                      <w:sz w:val="17"/>
                      <w:szCs w:val="17"/>
                      <w:lang w:val="bg-BG"/>
                    </w:rPr>
                    <w:t> Създава се чл. 20а: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pacing w:val="1"/>
                      <w:sz w:val="17"/>
                      <w:szCs w:val="17"/>
                      <w:lang w:val="bg-BG"/>
                    </w:rPr>
                    <w:t>„Учителски пенсионен фонд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2"/>
                      <w:sz w:val="17"/>
                      <w:szCs w:val="17"/>
                      <w:lang w:val="bg-BG"/>
                    </w:rPr>
                    <w:t xml:space="preserve">Чл. 20а. (1) Годишният бюджет на Учителския пенсионен фонд се приема със закона за бюджета на държавното обществено осигуряване за съответната година като приложение към него и не се </w:t>
                  </w:r>
                  <w:r w:rsidRPr="000316D3">
                    <w:rPr>
                      <w:rFonts w:ascii="Verdana" w:eastAsia="Times New Roman" w:hAnsi="Verdana" w:cs="Times New Roman"/>
                      <w:color w:val="000000"/>
                      <w:spacing w:val="2"/>
                      <w:sz w:val="17"/>
                      <w:szCs w:val="17"/>
                      <w:lang w:val="bg-BG"/>
                    </w:rPr>
                    <w:lastRenderedPageBreak/>
                    <w:t>включва в консолидирания бюджет на държавното обществено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В случай че законът за бюджета на държавното обществено осигуряване за съответната година не бъде приет от Народното събрание до началото на бюджетната година, приходите на Учителския пенсионен фонд се събират и разходите се извършват съобразно действащата нормативна уредба.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Набраните средства в Учителския пенсионен фонд се разходват за изплащане на пенсиите и добавките по чл. 69в.</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Временно свободните средства на Учителския пенсионен фонд могат да се влагат при условията и по реда на чл. 28.</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(5) Първостепенен разпоредител със средствата на Учителския пенсионен фонд е управителят на Националния осигурителен институт, а второстепенни разпоредители са ръководителите на териториалните поделения на Националния осигурителен институт.“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11.</w:t>
                  </w:r>
                  <w:r w:rsidRPr="000316D3">
                    <w:rPr>
                      <w:rFonts w:ascii="Verdana" w:eastAsia="Times New Roman" w:hAnsi="Verdana" w:cs="Times New Roman"/>
                      <w:color w:val="000000"/>
                      <w:spacing w:val="1"/>
                      <w:sz w:val="17"/>
                      <w:szCs w:val="17"/>
                      <w:lang w:val="bg-BG"/>
                    </w:rPr>
                    <w:t> В чл. 21 се правят следните изменения: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Точка 4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трансфери от държавния бюджет, предвидени в закона за бюджета на държавното обществено осигуряване за съответната година;“.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Точка 5 се отменя.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12. </w:t>
                  </w:r>
                  <w:r w:rsidRPr="000316D3">
                    <w:rPr>
                      <w:rFonts w:ascii="Verdana" w:eastAsia="Times New Roman" w:hAnsi="Verdana" w:cs="Times New Roman"/>
                      <w:color w:val="000000"/>
                      <w:sz w:val="17"/>
                      <w:szCs w:val="17"/>
                      <w:lang w:val="bg-BG"/>
                    </w:rPr>
                    <w:t>Член 22а се изменя така: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„Приходи по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22а. Средствата по фонд „Пенсии за лицата по чл. 69“ се набират от: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осигурителни вноски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трансфери, предвидени в закона за бюджета на държавното обществено осигуряване за съответната година;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лихви и дивиденти.“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13.</w:t>
                  </w:r>
                  <w:r w:rsidRPr="000316D3">
                    <w:rPr>
                      <w:rFonts w:ascii="Verdana" w:eastAsia="Times New Roman" w:hAnsi="Verdana" w:cs="Times New Roman"/>
                      <w:color w:val="000000"/>
                      <w:sz w:val="17"/>
                      <w:szCs w:val="17"/>
                      <w:lang w:val="bg-BG"/>
                    </w:rPr>
                    <w:t> Член 22б се изменя така: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„Разходи по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22б. Средствата по фонд „Пенсии за лицата по чл. 69“ се разходват за: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изплащане на пенсии за осигурителен стаж и възраст, пенсии за инвалидност поради общо заболяване и добавките към тях на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осъвременяване на пенсиите по т.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14.</w:t>
                  </w:r>
                  <w:r w:rsidRPr="000316D3">
                    <w:rPr>
                      <w:rFonts w:ascii="Verdana" w:eastAsia="Times New Roman" w:hAnsi="Verdana" w:cs="Times New Roman"/>
                      <w:color w:val="000000"/>
                      <w:sz w:val="17"/>
                      <w:szCs w:val="17"/>
                      <w:lang w:val="bg-BG"/>
                    </w:rPr>
                    <w:t> Създава се чл. 22в:</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„Приходи по фонд „Пенсии, несвързани с трудова дейност“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22в. Средствата по фонд „Пенсии, несвързани с трудова дейност“ се набират от: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трансфери от държавния бюджет за: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а) изплащане на пенсии, за които не се дължат осигурителни вноски, и за индексациите, компенсациите и добавките към тях;</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б) добавки към пенсиите на ветераните от войните;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в) добавки по чл. 84, определени от пенсиите по буква „а“;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г) добавки към пенсиите, определени със Закона за политическа и гражданска реабилитация на репресирани лица;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такси, определени с тарифа на Министерския съвет;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лихви и дивиденти;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4. дарения и завещания.“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15.</w:t>
                  </w:r>
                  <w:r w:rsidRPr="000316D3">
                    <w:rPr>
                      <w:rFonts w:ascii="Verdana" w:eastAsia="Times New Roman" w:hAnsi="Verdana" w:cs="Times New Roman"/>
                      <w:color w:val="000000"/>
                      <w:sz w:val="17"/>
                      <w:szCs w:val="17"/>
                      <w:lang w:val="bg-BG"/>
                    </w:rPr>
                    <w:t> Създава се чл. 22г:</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„Разходи по фонд „Пенсии, несвързани с трудова дейност“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22г. (1) Средствата по фонд „Пенсии, несвързани с трудова дейност“ се разходват за изплащане на: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пенсии за военна инвалидност;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пенсии за гражданска инвалидност;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социални пенсии за старост;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4. социални пенсии за инвалидност;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5. пенсии за особени заслуги;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6. персонални пенсии;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7. добавки към пенсиите на ветераните от войните;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8. добавки към пенсиите по Закона за политическа и гражданска реабилитация на репресирани лица;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9. добавки по чл. 84, определени от пенсии, за които не се дължат осигурителни вноски;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10. индексации и компенсации към пенсиите и добавките по т. 1 –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11. помощи за профилактика и рехабилитация.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Средствата по фонд „Пенсии, несвързани с трудова дейност“ се разходват и за изплащане на пенсии, за които не се дължат осигурителни вноски, по отменените Закон за пенсиите и Закон за общественото осигуряване, както и за индексациите, компенсациите и добавките към тях.“</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16.</w:t>
                  </w:r>
                  <w:r w:rsidRPr="000316D3">
                    <w:rPr>
                      <w:rFonts w:ascii="Verdana" w:eastAsia="Times New Roman" w:hAnsi="Verdana" w:cs="Times New Roman"/>
                      <w:color w:val="000000"/>
                      <w:sz w:val="17"/>
                      <w:szCs w:val="17"/>
                      <w:lang w:val="bg-BG"/>
                    </w:rPr>
                    <w:t> В чл. 33, ал. 2 думите „за срок 6 години“ се заличават.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lastRenderedPageBreak/>
                    <w:t>§ 17. </w:t>
                  </w:r>
                  <w:r w:rsidRPr="000316D3">
                    <w:rPr>
                      <w:rFonts w:ascii="Verdana" w:eastAsia="Times New Roman" w:hAnsi="Verdana" w:cs="Times New Roman"/>
                      <w:color w:val="000000"/>
                      <w:sz w:val="17"/>
                      <w:szCs w:val="17"/>
                      <w:lang w:val="bg-BG"/>
                    </w:rPr>
                    <w:t>В чл. 36, ал. 1 т. 2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утвърждава проектите на годишния бюджет на държавното обществено осигуряване, годишния бюджет на Учителския пенсионен фонд и отчетите им;“.</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18.</w:t>
                  </w:r>
                  <w:r w:rsidRPr="000316D3">
                    <w:rPr>
                      <w:rFonts w:ascii="Verdana" w:eastAsia="Times New Roman" w:hAnsi="Verdana" w:cs="Times New Roman"/>
                      <w:color w:val="000000"/>
                      <w:sz w:val="17"/>
                      <w:szCs w:val="17"/>
                      <w:lang w:val="bg-BG"/>
                    </w:rPr>
                    <w:t> В чл. 37, ал. 5, т. 3 букви „а“ и „б“ се изменят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„а) проектите за бюджета на държавното обществено осигуряване и бюджета на Учителския пенсионен фонд;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б) проектите за отчет за изпълнението на бюджета на държавното обществено осигуряване и отчет за изпълнението на Учителския пенсионен фонд;“.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19.</w:t>
                  </w:r>
                  <w:r w:rsidRPr="000316D3">
                    <w:rPr>
                      <w:rFonts w:ascii="Verdana" w:eastAsia="Times New Roman" w:hAnsi="Verdana" w:cs="Times New Roman"/>
                      <w:color w:val="000000"/>
                      <w:sz w:val="17"/>
                      <w:szCs w:val="17"/>
                      <w:lang w:val="bg-BG"/>
                    </w:rPr>
                    <w:t> В чл. 54м, ал. 2 думите „чл. 6, ал. 8“ се заменят с „чл. 6,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20. </w:t>
                  </w:r>
                  <w:r w:rsidRPr="000316D3">
                    <w:rPr>
                      <w:rFonts w:ascii="Verdana" w:eastAsia="Times New Roman" w:hAnsi="Verdana" w:cs="Times New Roman"/>
                      <w:color w:val="000000"/>
                      <w:sz w:val="17"/>
                      <w:szCs w:val="17"/>
                      <w:lang w:val="bg-BG"/>
                    </w:rPr>
                    <w:t>Член 68 се изменя така:</w:t>
                  </w:r>
                </w:p>
                <w:p w:rsidR="00BB3022" w:rsidRPr="00544C9C" w:rsidRDefault="00BB3022" w:rsidP="00BB3022">
                  <w:pPr>
                    <w:keepNext/>
                    <w:spacing w:after="28" w:line="185" w:lineRule="atLeast"/>
                    <w:jc w:val="center"/>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i/>
                      <w:iCs/>
                      <w:color w:val="000000"/>
                      <w:sz w:val="28"/>
                      <w:szCs w:val="28"/>
                      <w:highlight w:val="cyan"/>
                      <w:lang w:val="bg-BG"/>
                    </w:rPr>
                    <w:t>„Придобиване право на пенсия</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Чл. 68. (1) Право на пенсия за осигурителен стаж и възраст се придобива при навършване на възраст 60 години и 10 месеца от жените и 63 години и 10 месеца от мъжете и осигурителен стаж 35 години и 2 месеца за жените и 38 години и 2 месеца за мъжете. От 31 декември 2016 г. възрастта се увеличава от първия ден на всяка следваща календарна година, както следва:</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1. до 31 декември 2029 г. възрастта за жените се увеличава с по 2 месеца за всяка календарна година, а от 1 януари 2030 г. – с по 3 месеца за всяка календарна година до достигане на 65-годишна възраст;</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2. до 31 декември 2017 г. възрастта за мъжете се увеличава с 2 месеца, а от 1 януари 2018 г. – с по 1 месец за всяка календарна година до достигане на 65-годишна възраст.</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(2) От 31 декември 2016 г. осигурителният стаж по ал. 1 се увеличава от първия ден на всяка следваща календарна година с по 2 месеца до достигане на осигурителен стаж 37 години за жените и 40 години за мъжете.</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(3) В случай че лицата нямат право на пенсия по ал. 1 и 2, до 31 декември 2016 г. те придобиват право на пенсия при навършване на възраст 65 години и 10 месеца за жените и мъжете и най-малко 15 години действителен осигурителен стаж. От 31 декември 2016 г. възрастта се увеличава от първия ден на всяка следваща календарна година с по 2 месеца до достигане на 67-годишна възраст.</w:t>
                  </w:r>
                </w:p>
                <w:p w:rsidR="00BB3022" w:rsidRPr="000316D3"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lang w:val="bg-BG"/>
                    </w:rPr>
                  </w:pPr>
                  <w:r w:rsidRPr="00544C9C">
                    <w:rPr>
                      <w:rFonts w:ascii="Times New Roman" w:eastAsia="Times New Roman" w:hAnsi="Times New Roman" w:cs="Times New Roman"/>
                      <w:color w:val="000000"/>
                      <w:sz w:val="28"/>
                      <w:szCs w:val="28"/>
                      <w:highlight w:val="cyan"/>
                      <w:lang w:val="bg-BG"/>
                    </w:rPr>
                    <w:t>(4) След 31 декември 2037 г. възрастта по ал. 1 се обвързва с нарастването на средната продължителност на живота.“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21.</w:t>
                  </w:r>
                  <w:r w:rsidRPr="000316D3">
                    <w:rPr>
                      <w:rFonts w:ascii="Verdana" w:eastAsia="Times New Roman" w:hAnsi="Verdana" w:cs="Times New Roman"/>
                      <w:color w:val="000000"/>
                      <w:sz w:val="17"/>
                      <w:szCs w:val="17"/>
                      <w:lang w:val="bg-BG"/>
                    </w:rPr>
                    <w:t> Създава се чл. 68а: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„Пенсия за осигурителен стаж и възраст в намален размер</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68а. (1) Лицата, които имат изискуемия осигурителен стаж по чл. 68, ал. 2, могат по тяхно желание да се пенсионират до една година по-рано от възрастта им по чл. 68, ал. 1. Пенсията се отпуска от датата на заявлението и се изплаща в намален размер пожизнено.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Лицата, на които е отпусната пенсия по ал. 1, нямат право на пенсия по чл. 68, ал. 1, 2 и 3.“</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22. </w:t>
                  </w:r>
                  <w:r w:rsidRPr="000316D3">
                    <w:rPr>
                      <w:rFonts w:ascii="Verdana" w:eastAsia="Times New Roman" w:hAnsi="Verdana" w:cs="Times New Roman"/>
                      <w:color w:val="000000"/>
                      <w:sz w:val="17"/>
                      <w:szCs w:val="17"/>
                      <w:lang w:val="bg-BG"/>
                    </w:rPr>
                    <w:t>В чл. 69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xml:space="preserve">1. В ал. 1 думите „освобождаване от служба независимо от възрастта им“ се заменят с „навършване на възраст 52 години и 10 месеца и“ и накрая се добавя „и/или като </w:t>
                  </w:r>
                  <w:proofErr w:type="spellStart"/>
                  <w:r w:rsidRPr="000316D3">
                    <w:rPr>
                      <w:rFonts w:ascii="Verdana" w:eastAsia="Times New Roman" w:hAnsi="Verdana" w:cs="Times New Roman"/>
                      <w:color w:val="000000"/>
                      <w:sz w:val="17"/>
                      <w:szCs w:val="17"/>
                      <w:lang w:val="bg-BG"/>
                    </w:rPr>
                    <w:t>резервисти</w:t>
                  </w:r>
                  <w:proofErr w:type="spellEnd"/>
                  <w:r w:rsidRPr="000316D3">
                    <w:rPr>
                      <w:rFonts w:ascii="Verdana" w:eastAsia="Times New Roman" w:hAnsi="Verdana" w:cs="Times New Roman"/>
                      <w:color w:val="000000"/>
                      <w:sz w:val="17"/>
                      <w:szCs w:val="17"/>
                      <w:lang w:val="bg-BG"/>
                    </w:rPr>
                    <w:t xml:space="preserve"> на активна служба по Закона за резерва на въоръжените сили на Република България“.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Алинеи 2 и 3 се изменят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xml:space="preserve">„(2) Държавните служители по Закона за Министерството на вътрешните работи, Закона за специалните разузнавателни средства и по Закона за изпълнение на наказанията и задържането под стража, държавните служители по чл. 11 от Закона за пощенските услуги, държавните служители, осъществяващи дейността по охрана на съдебната власт по чл. 391 от Закона за съдебната власт, следователите и младши следователите придобиват право на пенсия при навършване на възраст 52 години и 10 месеца и при 27 години общ осигурителен стаж, от които две трети действително </w:t>
                  </w:r>
                  <w:r w:rsidRPr="000316D3">
                    <w:rPr>
                      <w:rFonts w:ascii="Verdana" w:eastAsia="Times New Roman" w:hAnsi="Verdana" w:cs="Times New Roman"/>
                      <w:color w:val="000000"/>
                      <w:sz w:val="17"/>
                      <w:szCs w:val="17"/>
                      <w:lang w:val="bg-BG"/>
                    </w:rPr>
                    <w:lastRenderedPageBreak/>
                    <w:t>изслужени като държавни служители по посочените закони, по Закона за Държавна агенция „Национална сигурност“ и като военнослужещи по Закона за отбраната и въоръжените сили на Република България или като следователи и младши следователи.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Държавните служители по Закона за Държавна агенция „Национална сигурност“ придобиват право на пенсия при навършване на възраст 52 години и 10 месеца и при 27 години общ осигурителен стаж, от които две трети действително изслужени по Закона за Държавна агенция „Национална сигурност“, на военна служба или по законите по ал.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В ал. 4 думите „уволнение, независимо от възрастта им“ се заменят с „навършване на възраст 42 години и 10 месеца“.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4. Алинея 6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„(6) Служителите в Главна дирекция „Пожарна безопасност и защита на населението“ на Министерството на вътрешните работи, изпълняващи някои от дейностите по чл. 17, ал. 2, т. 6 от Закона за Министерството на вътрешните работи, придобиват право на пенсия при навършване на възраст 52 години и 10 месеца и при 27 години общ осигурителен стаж, от които две трети действително изслужени в системата на гражданска защита.“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5. В ал. 7 думите „прекратяване на правоотношението, независимо от възрастта“ се заменят с „навършване на възраст 42 години и 10 месеца“.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6. Създават се ал. 9 и 10:</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„(9) От 31 декември 2016 г. възрастта за лицата по ал. 1 – 7 се увеличава от първия ден на всяка следваща календарна година с по 2 месеца до достигане на 55-годишна възраст за лицата по ал. 1, 2, 3 и 6 и до 45-годишна възраст за лицата по ал. 4 и 7.</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(10) Право на пенсия при условията на ал. 1 – 9 имат и лицата, които са изпълнявали военна или държавна служба по законите по ал. 1 – 3, лицата, които са били на длъжностите по ал. 4 и 7, и служителите, които са извършвали дейностите по ал. 6.“</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23. </w:t>
                  </w:r>
                  <w:r w:rsidRPr="000316D3">
                    <w:rPr>
                      <w:rFonts w:ascii="Verdana" w:eastAsia="Times New Roman" w:hAnsi="Verdana" w:cs="Times New Roman"/>
                      <w:color w:val="000000"/>
                      <w:sz w:val="17"/>
                      <w:szCs w:val="17"/>
                      <w:lang w:val="bg-BG"/>
                    </w:rPr>
                    <w:t>Член 69а се изменя така: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„Придобиване право на пенсия от балерини, балетисти и танцьори с осигурителен стаж в културни организации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69а. (1) Лицата, които имат осигурителен стаж 25 години на длъжност балерина, балетист или танцьор в културни организации, придобиват право на пенсия при навършване на възраст 42 години и 10 месеца.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От 31 декември 2016 г. възрастта за лицата по ал. 1 се увеличава от първия ден на всяка следваща календарна година с по 2 месеца до достигане на 45-годишна възраст.“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24. </w:t>
                  </w:r>
                  <w:r w:rsidRPr="000316D3">
                    <w:rPr>
                      <w:rFonts w:ascii="Verdana" w:eastAsia="Times New Roman" w:hAnsi="Verdana" w:cs="Times New Roman"/>
                      <w:color w:val="000000"/>
                      <w:sz w:val="17"/>
                      <w:szCs w:val="17"/>
                      <w:lang w:val="bg-BG"/>
                    </w:rPr>
                    <w:t>Създават се чл. 69б и 69в:</w:t>
                  </w:r>
                </w:p>
                <w:p w:rsidR="00BB3022" w:rsidRPr="000316D3" w:rsidRDefault="00BB3022" w:rsidP="00BB3022">
                  <w:pPr>
                    <w:keepNext/>
                    <w:spacing w:after="28" w:line="185" w:lineRule="atLeast"/>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„Придобиване право на пенсия от лицата, работещи при условията на първа и втора категория труд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69б. (1) Лицата, които са работили 10 години при условията на първа категория труд, могат да се пенсионират, ако не са придобили право на пенсия по чл. 168 или когато са променили осигуряването си по чл. 4в и са: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навършили възраст до 31 декември 2015 г. 47 години и 8 месеца за жените и 52 години и 8 месеца за мъжете и имат сбор от осигурителен стаж и възраст 94 за жените и 100 за мъжете;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от 31 декември 2015 г. възрастта по т. 1 се увеличава от първия ден на всяка следваща календарна година с по 2 месеца за мъжете и с по 4 месеца за жените до достигане на 55-годишна възраст.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Лицата, които са работили 15 години при условията на втора категория труд, могат да се пенсионират, ако не са придобили право на пенсия по чл. 168 или когато са променили осигуряването си по чл. 4в и са: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навършили възраст до 31 декември 2015 г. 52 години и 8 месеца за жените и 57 години и 8 месеца за мъжете и имат сбор от осигурителен стаж и възраст 94 за жените и 100 за мъжете;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от 31 декември 2015 г. възрастта по т. 1 се увеличава от първия ден на всяка следваща календарна година с по 2 месеца за мъжете и с по 4 месеца за жените до достигане на 60-годишна възраст.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Лицата, които до 31 декември 2015 г. имат 10 години осигурителен стаж, положен при условията на чл. 104, ал. 3, могат да се пенсионират преди навършване на възрастта по чл. 68, при условие че имат сбор от възрастта и осигурителен стаж 90 и 52-годишна възраст за мъжете и 47-годишна възраст за жените. От 31 декември 2015 г. възрастта се увеличава от първия ден на всяка следваща календарна година с по 2 месеца до достигане на 55-годишна възраст за мъжете и за жените.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(4) Ако трудовият договор на лицата, които работят при условията на чл. 104, ал. 3, бъде прекратен на основание чл. 328, ал. 1, т. 1 и 2 от Кодекса на труда, те могат да се пенсионират до 31 декември 2015 г. включително, не по-рано от навършване на 45-годишна възраст и ако имат сбор от осигурителен стаж и възраст 90 и 10 години осигурителен стаж, положен при условията на чл. 104, ал. 3. От 31 декември 2015 г. възрастта се увеличава от първия ден на всяка следваща календарна година с по 2 месеца до достигане на 50-годишна възраст за мъжете и жените.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xml:space="preserve">(5) В случай че лицето е упражнило правото на пенсия по ал. 4, то не може да сключва трудов </w:t>
                  </w:r>
                  <w:r w:rsidRPr="000316D3">
                    <w:rPr>
                      <w:rFonts w:ascii="Verdana" w:eastAsia="Times New Roman" w:hAnsi="Verdana" w:cs="Times New Roman"/>
                      <w:color w:val="000000"/>
                      <w:sz w:val="17"/>
                      <w:szCs w:val="17"/>
                      <w:lang w:val="bg-BG"/>
                    </w:rPr>
                    <w:lastRenderedPageBreak/>
                    <w:t>договор за работа при условията на първа категория труд до навършване на възрастта му по ал. 1 или по чл. 168, ал. 1, т.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(6) За преценяване правото на пенсия по ал. 2 осигурителният стаж от първа категория труд допълва осигурителния стаж от втора категория труд без превръщане.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xml:space="preserve">(7) Когато лицата по ал. 1, 2, 3 и 4, които не са придобили право на пенсия по чл. 168, поискат да им бъде отпусната пенсия от държавното обществено осигуряване, едновременно със заявлението за отпускане на пенсия те подават и заявление, с което искат средствата по индивидуалната им партида в професионалния пенсионен фонд да се прехвърлят във фонд „Пенсии“ на държавното обществено осигуряване. Заявлението за прехвърляне се подава чрез териториално поделение на Националния осигурителен институт до съответното </w:t>
                  </w:r>
                  <w:proofErr w:type="spellStart"/>
                  <w:r w:rsidRPr="000316D3">
                    <w:rPr>
                      <w:rFonts w:ascii="Verdana" w:eastAsia="Times New Roman" w:hAnsi="Verdana" w:cs="Times New Roman"/>
                      <w:color w:val="000000"/>
                      <w:sz w:val="17"/>
                      <w:szCs w:val="17"/>
                      <w:lang w:val="bg-BG"/>
                    </w:rPr>
                    <w:t>пенсионноосигурително</w:t>
                  </w:r>
                  <w:proofErr w:type="spellEnd"/>
                  <w:r w:rsidRPr="000316D3">
                    <w:rPr>
                      <w:rFonts w:ascii="Verdana" w:eastAsia="Times New Roman" w:hAnsi="Verdana" w:cs="Times New Roman"/>
                      <w:color w:val="000000"/>
                      <w:sz w:val="17"/>
                      <w:szCs w:val="17"/>
                      <w:lang w:val="bg-BG"/>
                    </w:rPr>
                    <w:t xml:space="preserve"> дружество, управляващо </w:t>
                  </w:r>
                  <w:proofErr w:type="spellStart"/>
                  <w:r w:rsidRPr="000316D3">
                    <w:rPr>
                      <w:rFonts w:ascii="Verdana" w:eastAsia="Times New Roman" w:hAnsi="Verdana" w:cs="Times New Roman"/>
                      <w:color w:val="000000"/>
                      <w:sz w:val="17"/>
                      <w:szCs w:val="17"/>
                      <w:lang w:val="bg-BG"/>
                    </w:rPr>
                    <w:t>пенсионноосигурителния</w:t>
                  </w:r>
                  <w:proofErr w:type="spellEnd"/>
                  <w:r w:rsidRPr="000316D3">
                    <w:rPr>
                      <w:rFonts w:ascii="Verdana" w:eastAsia="Times New Roman" w:hAnsi="Verdana" w:cs="Times New Roman"/>
                      <w:color w:val="000000"/>
                      <w:sz w:val="17"/>
                      <w:szCs w:val="17"/>
                      <w:lang w:val="bg-BG"/>
                    </w:rPr>
                    <w:t xml:space="preserve"> фонд, едновременно с подаване на заявлението за отпускане на пенсия от държавното обществено осигуряване. В 7-дневен срок от отпускане на пенсията териториалното поделение на Националния осигурителен институт изпраща заявлението на </w:t>
                  </w:r>
                  <w:proofErr w:type="spellStart"/>
                  <w:r w:rsidRPr="000316D3">
                    <w:rPr>
                      <w:rFonts w:ascii="Verdana" w:eastAsia="Times New Roman" w:hAnsi="Verdana" w:cs="Times New Roman"/>
                      <w:color w:val="000000"/>
                      <w:sz w:val="17"/>
                      <w:szCs w:val="17"/>
                      <w:lang w:val="bg-BG"/>
                    </w:rPr>
                    <w:t>пенсионноосигурителното</w:t>
                  </w:r>
                  <w:proofErr w:type="spellEnd"/>
                  <w:r w:rsidRPr="000316D3">
                    <w:rPr>
                      <w:rFonts w:ascii="Verdana" w:eastAsia="Times New Roman" w:hAnsi="Verdana" w:cs="Times New Roman"/>
                      <w:color w:val="000000"/>
                      <w:sz w:val="17"/>
                      <w:szCs w:val="17"/>
                      <w:lang w:val="bg-BG"/>
                    </w:rPr>
                    <w:t xml:space="preserve"> дружество.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xml:space="preserve">(8) В случаите по ал. 7 </w:t>
                  </w:r>
                  <w:proofErr w:type="spellStart"/>
                  <w:r w:rsidRPr="000316D3">
                    <w:rPr>
                      <w:rFonts w:ascii="Verdana" w:eastAsia="Times New Roman" w:hAnsi="Verdana" w:cs="Times New Roman"/>
                      <w:color w:val="000000"/>
                      <w:sz w:val="17"/>
                      <w:szCs w:val="17"/>
                      <w:lang w:val="bg-BG"/>
                    </w:rPr>
                    <w:t>пенсионноосигурителното</w:t>
                  </w:r>
                  <w:proofErr w:type="spellEnd"/>
                  <w:r w:rsidRPr="000316D3">
                    <w:rPr>
                      <w:rFonts w:ascii="Verdana" w:eastAsia="Times New Roman" w:hAnsi="Verdana" w:cs="Times New Roman"/>
                      <w:color w:val="000000"/>
                      <w:sz w:val="17"/>
                      <w:szCs w:val="17"/>
                      <w:lang w:val="bg-BG"/>
                    </w:rPr>
                    <w:t xml:space="preserve"> дружество превежда средствата във фонд „Пенсии“ на държавното обществено осигуряване в едномесечен срок от получаване на заявлението. Когато в индивидуалната партида няма натрупани средства, </w:t>
                  </w:r>
                  <w:proofErr w:type="spellStart"/>
                  <w:r w:rsidRPr="000316D3">
                    <w:rPr>
                      <w:rFonts w:ascii="Verdana" w:eastAsia="Times New Roman" w:hAnsi="Verdana" w:cs="Times New Roman"/>
                      <w:color w:val="000000"/>
                      <w:sz w:val="17"/>
                      <w:szCs w:val="17"/>
                      <w:lang w:val="bg-BG"/>
                    </w:rPr>
                    <w:t>пенсионноосигурителното</w:t>
                  </w:r>
                  <w:proofErr w:type="spellEnd"/>
                  <w:r w:rsidRPr="000316D3">
                    <w:rPr>
                      <w:rFonts w:ascii="Verdana" w:eastAsia="Times New Roman" w:hAnsi="Verdana" w:cs="Times New Roman"/>
                      <w:color w:val="000000"/>
                      <w:sz w:val="17"/>
                      <w:szCs w:val="17"/>
                      <w:lang w:val="bg-BG"/>
                    </w:rPr>
                    <w:t xml:space="preserve"> дружество уведомява Националния осигурителен институт.</w:t>
                  </w:r>
                </w:p>
                <w:p w:rsidR="00BB3022" w:rsidRPr="00544C9C" w:rsidRDefault="00BB3022" w:rsidP="00BB3022">
                  <w:pPr>
                    <w:keepNext/>
                    <w:spacing w:after="28" w:line="185" w:lineRule="atLeast"/>
                    <w:jc w:val="center"/>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i/>
                      <w:iCs/>
                      <w:color w:val="000000"/>
                      <w:sz w:val="28"/>
                      <w:szCs w:val="28"/>
                      <w:highlight w:val="cyan"/>
                      <w:lang w:val="bg-BG"/>
                    </w:rPr>
                    <w:t>Придобиване право на пенсия от учителите</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Чл. 69в. (1) Учителите придобиват право на пенсия за осигурителен стаж и възраст при навършване на възраст 57 години и 10 месеца от жените и 60 години и 10 месеца от мъжете и учителски осигурителен стаж 25 години и 8 месеца за жените и 30 години и 8 месеца за мъжете. От 31 декември 2016 г. възрастта се увеличава от първия ден на всяка следваща календарна година, както следва:</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1. до 31 декември 2029 г. възрастта за жените се увеличава с по 2 месеца за всяка календарна година, а от 1 януари 2030 г. – с по 3 месеца за всяка календарна година до достигане на 62-годишна възраст;</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2. до 31 декември 2017 г. възрастта за мъжете се увеличава с по 2 месеца за всяка календарна година, а от 1 януари 2018 г. – с по 1 месец за всяка календарна година до достигане на 62-годишна възраст.</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(2) На лицата по ал. 1 се изплаща срочна пенсия за ранно пенсиониране от Учителския пенсионен фонд в размер, определен по реда на чл. 70 и намален с 0,1 на сто за всеки месец, недостигащ на лицето до навършване на възрастта му за придобиване право на пенсия по чл. 68, ал. 1.</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(3) На учителите, които са придобили право на пенсия при условията на ал. 1 и се пенсионират при условията на чл. 68, ал. 1 и 2, се изплащат пенсии за осигурителен стаж и възраст от фонд „Пенсии“ и добавка от Учителския пенсионен фонд в размер 0,33 на сто от пенсията за всеки месец, за който има осигурителна вноска във фонда след придобиване право на пенсия по ал. 1.</w:t>
                  </w:r>
                </w:p>
                <w:p w:rsidR="00BB3022" w:rsidRPr="00544C9C"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highlight w:val="cyan"/>
                      <w:lang w:val="bg-BG"/>
                    </w:rPr>
                  </w:pPr>
                  <w:r w:rsidRPr="00544C9C">
                    <w:rPr>
                      <w:rFonts w:ascii="Times New Roman" w:eastAsia="Times New Roman" w:hAnsi="Times New Roman" w:cs="Times New Roman"/>
                      <w:color w:val="000000"/>
                      <w:sz w:val="28"/>
                      <w:szCs w:val="28"/>
                      <w:highlight w:val="cyan"/>
                      <w:lang w:val="bg-BG"/>
                    </w:rPr>
                    <w:t>(4) На учителите, които имат изискуемия по ал. 1 учителски осигурителен стаж и се пенсионират след навършване на възрастта по чл. 68, ал. 1, се изплаща пенсия в пълен размер от Учителския пенсионен фонд до навършване на възрастта по чл. 68, ал. 3. След навършване на възрастта по чл. 68, ал. 3 пенсията се изплаща за сметка на фонд „Пенсии“.</w:t>
                  </w:r>
                </w:p>
                <w:p w:rsidR="00BB3022" w:rsidRPr="00FB3190"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lang w:val="bg-BG"/>
                    </w:rPr>
                  </w:pPr>
                  <w:r w:rsidRPr="00544C9C">
                    <w:rPr>
                      <w:rFonts w:ascii="Times New Roman" w:eastAsia="Times New Roman" w:hAnsi="Times New Roman" w:cs="Times New Roman"/>
                      <w:color w:val="000000"/>
                      <w:sz w:val="28"/>
                      <w:szCs w:val="28"/>
                      <w:highlight w:val="cyan"/>
                      <w:lang w:val="bg-BG"/>
                    </w:rPr>
                    <w:t xml:space="preserve">(5) Лицата, които заемат учителски длъжности, и зачитането на </w:t>
                  </w:r>
                  <w:r w:rsidRPr="00544C9C">
                    <w:rPr>
                      <w:rFonts w:ascii="Times New Roman" w:eastAsia="Times New Roman" w:hAnsi="Times New Roman" w:cs="Times New Roman"/>
                      <w:color w:val="000000"/>
                      <w:sz w:val="28"/>
                      <w:szCs w:val="28"/>
                      <w:highlight w:val="cyan"/>
                      <w:lang w:val="bg-BG"/>
                    </w:rPr>
                    <w:lastRenderedPageBreak/>
                    <w:t>осигурителния стаж за учителски по смисъла на този кодекс се определят с наредбата по чл. 106.“</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25. </w:t>
                  </w:r>
                  <w:r w:rsidRPr="000316D3">
                    <w:rPr>
                      <w:rFonts w:ascii="Verdana" w:eastAsia="Times New Roman" w:hAnsi="Verdana" w:cs="Times New Roman"/>
                      <w:color w:val="000000"/>
                      <w:sz w:val="17"/>
                      <w:szCs w:val="17"/>
                      <w:lang w:val="bg-BG"/>
                    </w:rPr>
                    <w:t>В чл. 70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В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а) изречение първо се изменя така: „Размерът на пенсията за осигурителен стаж и възраст се определя, като доходът, от който се изчислява пенсията, се умножи със сумата, образувана от: по процент 1,</w:t>
                  </w:r>
                  <w:proofErr w:type="spellStart"/>
                  <w:r w:rsidRPr="000316D3">
                    <w:rPr>
                      <w:rFonts w:ascii="Verdana" w:eastAsia="Times New Roman" w:hAnsi="Verdana" w:cs="Times New Roman"/>
                      <w:color w:val="000000"/>
                      <w:sz w:val="17"/>
                      <w:szCs w:val="17"/>
                      <w:lang w:val="bg-BG"/>
                    </w:rPr>
                    <w:t>1</w:t>
                  </w:r>
                  <w:proofErr w:type="spellEnd"/>
                  <w:r w:rsidRPr="000316D3">
                    <w:rPr>
                      <w:rFonts w:ascii="Verdana" w:eastAsia="Times New Roman" w:hAnsi="Verdana" w:cs="Times New Roman"/>
                      <w:color w:val="000000"/>
                      <w:sz w:val="17"/>
                      <w:szCs w:val="17"/>
                      <w:lang w:val="bg-BG"/>
                    </w:rPr>
                    <w:t xml:space="preserve"> на сто за всяка година осигурителен стаж и съответната пропорционална част от процента за месеците осигурителен стаж.“;</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б) създават се нови изречения второ и трето: „След 31 декември 2016 г. процентът за всяка година осигурителен стаж нараства от първо число на всяка следваща календарна година с процент, равен или по-голям от процента по чл. 100, ал. 1, до достигане на 1,5. Процентът се определя ежегодно със закона за бюджета на държавното обществено осигуряване за съответната година.“;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в) досегашните изречения второ и трето стават съответно изречения четвърто и пето.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В ал. 3 се създава изречение второ: „За пенсиите, отпуснати с начална дата след 31 декември 2018 г., индивидуалният коефициент се изчислява от осигурителния доход на лицето за осигурителния му стаж след 31 декември 1996 г. до датата на отпускане на пенсията.“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В ал. 4, т. 2 се създава изречение второ: „От 1 януари 2019 г. – съотношението между месечния осигурителен доход на лицето и средния осигурителен доход за страната за същия месец.“</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4. В ал. 5 се създава изречение второ: „От 1 януари 2019 г. индивидуалният коефициент се определя като средно съотношение от месечните съотношения по ал. 4, т. 2, изречение второ.“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5. Създава се нова ал. 7:</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„(7) За периодите, през които лицата са осигурявани в универсален пенсионен фонд, индивидуалният им коефициент се намалява на базата на съотношението между размерите на осигурителните вноски за универсален пенсионен фонд и за фонд „Пенсии“ за трета категория труд за лицата, родени преди 1 януари 1960 г., по ред, определен с акт на Министерския съвет.“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6. Създава се нова ал. 8:</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„(8) Индивидуалният коефициент не се намалява за периодите, за които натрупаните средства по индивидуалната партида на лицата в универсален пенсионен фонд са прехвърлени в Държавния фонд за гарантиране устойчивостта на държавната пенсионна система.“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7. Досегашната ал. 7 става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8. Досегашната ал. 8 става ал. 10 и в нея думите „по ал. 7“ се заменят с „по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9. Досегашните ал. 9 и 10 стават съответно ал. 11 и 12.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10. Създават се ал. 13 и 14:</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„(13) Размерът на пенсията по чл. 68а се намалява с 0,4 на сто за всеки недостигащ месец до навършване от лицето на възрастта му по чл. 68,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(14) Лицата могат да поискат преизчисляване на пенсията от осигурителния доход за друг тригодишен период преди 1 януари 1997 г. в 12-месечен срок от влизане в сила на разпореждането за отпускане на пенсията.“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26.</w:t>
                  </w:r>
                  <w:r w:rsidRPr="000316D3">
                    <w:rPr>
                      <w:rFonts w:ascii="Verdana" w:eastAsia="Times New Roman" w:hAnsi="Verdana" w:cs="Times New Roman"/>
                      <w:color w:val="000000"/>
                      <w:sz w:val="17"/>
                      <w:szCs w:val="17"/>
                      <w:lang w:val="bg-BG"/>
                    </w:rPr>
                    <w:t> В чл. 75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В ал. 1 се създава изречение второ: „След 31 декември 2016 г. процентът за всяка година осигурителен стаж нараства от първо число на всяка следваща календарна година с процент, определен съгласно чл. 70,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В ал. 4, т. 1, 2 и 3 думите „по чл. 70, ал. 7“ се заменят с „по чл. 70,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27. </w:t>
                  </w:r>
                  <w:r w:rsidRPr="000316D3">
                    <w:rPr>
                      <w:rFonts w:ascii="Verdana" w:eastAsia="Times New Roman" w:hAnsi="Verdana" w:cs="Times New Roman"/>
                      <w:color w:val="000000"/>
                      <w:sz w:val="17"/>
                      <w:szCs w:val="17"/>
                      <w:lang w:val="bg-BG"/>
                    </w:rPr>
                    <w:t>В чл. 79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Създава се нова ал.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След 31 декември 2016 г. коефициентите по ал. 1, т. 1, 2 и 3 нарастват от първо число на всяка следваща календарна година с процент, определен съгласно чл. 70,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Досегашната ал. 2 става ал. 3 и в нея в т. 1, 2 и 3 думите „по чл. 70, ал. 7“ се заменят с „по чл. 70,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Досегашната ал. 3 става ал. 4.</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28. </w:t>
                  </w:r>
                  <w:r w:rsidRPr="000316D3">
                    <w:rPr>
                      <w:rFonts w:ascii="Verdana" w:eastAsia="Times New Roman" w:hAnsi="Verdana" w:cs="Times New Roman"/>
                      <w:color w:val="000000"/>
                      <w:sz w:val="17"/>
                      <w:szCs w:val="17"/>
                      <w:lang w:val="bg-BG"/>
                    </w:rPr>
                    <w:t>В чл. 81, ал. 2 думите „по чл. 70, ал. 7“ се заменят с „по чл. 70,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29.</w:t>
                  </w:r>
                  <w:r w:rsidRPr="000316D3">
                    <w:rPr>
                      <w:rFonts w:ascii="Verdana" w:eastAsia="Times New Roman" w:hAnsi="Verdana" w:cs="Times New Roman"/>
                      <w:color w:val="000000"/>
                      <w:sz w:val="17"/>
                      <w:szCs w:val="17"/>
                      <w:lang w:val="bg-BG"/>
                    </w:rPr>
                    <w:t> В чл. 95, ал. 1 се създава т. 5:</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„5. когато пенсионерът не спазва предписанията на органите на експертизата на работоспособността по отношение на противопоказаните условия на труд.“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30. </w:t>
                  </w:r>
                  <w:r w:rsidRPr="000316D3">
                    <w:rPr>
                      <w:rFonts w:ascii="Verdana" w:eastAsia="Times New Roman" w:hAnsi="Verdana" w:cs="Times New Roman"/>
                      <w:color w:val="000000"/>
                      <w:sz w:val="17"/>
                      <w:szCs w:val="17"/>
                      <w:lang w:val="bg-BG"/>
                    </w:rPr>
                    <w:t>В чл. 102 се създава ал. 6:</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„(6) При преизчисляване на пенсиите по чл. 68а размерът на намалението им по чл. 70, ал. 13 не се променя.“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31.</w:t>
                  </w:r>
                  <w:r w:rsidRPr="000316D3">
                    <w:rPr>
                      <w:rFonts w:ascii="Verdana" w:eastAsia="Times New Roman" w:hAnsi="Verdana" w:cs="Times New Roman"/>
                      <w:color w:val="000000"/>
                      <w:sz w:val="17"/>
                      <w:szCs w:val="17"/>
                      <w:lang w:val="bg-BG"/>
                    </w:rPr>
                    <w:t> В чл. 124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Алинея 1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xml:space="preserve">„(1) Допълнителното задължително пенсионно осигуряване се осъществява при условията и по реда на този дял въз основа на сключен договор на осигуреното лице с </w:t>
                  </w:r>
                  <w:proofErr w:type="spellStart"/>
                  <w:r w:rsidRPr="000316D3">
                    <w:rPr>
                      <w:rFonts w:ascii="Verdana" w:eastAsia="Times New Roman" w:hAnsi="Verdana" w:cs="Times New Roman"/>
                      <w:color w:val="000000"/>
                      <w:sz w:val="17"/>
                      <w:szCs w:val="17"/>
                      <w:lang w:val="bg-BG"/>
                    </w:rPr>
                    <w:t>пенсионноосигурително</w:t>
                  </w:r>
                  <w:proofErr w:type="spellEnd"/>
                  <w:r w:rsidRPr="000316D3">
                    <w:rPr>
                      <w:rFonts w:ascii="Verdana" w:eastAsia="Times New Roman" w:hAnsi="Verdana" w:cs="Times New Roman"/>
                      <w:color w:val="000000"/>
                      <w:sz w:val="17"/>
                      <w:szCs w:val="17"/>
                      <w:lang w:val="bg-BG"/>
                    </w:rPr>
                    <w:t xml:space="preserve"> дружество или въз основа на служебно разпределение при условията на чл. 137, ал. 4 и чл. 140, ал. 4.“</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lastRenderedPageBreak/>
                    <w:t>2. В ал. 2 след думата „договор“ се добавя „или от датата на служебното разпределение във фонд за допълнително задължително пенсионно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32.</w:t>
                  </w:r>
                  <w:r w:rsidRPr="000316D3">
                    <w:rPr>
                      <w:rFonts w:ascii="Verdana" w:eastAsia="Times New Roman" w:hAnsi="Verdana" w:cs="Times New Roman"/>
                      <w:color w:val="000000"/>
                      <w:sz w:val="17"/>
                      <w:szCs w:val="17"/>
                      <w:lang w:val="bg-BG"/>
                    </w:rPr>
                    <w:t> Създава се чл. 124а: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„Избор за възобновяване осигуряването на лицата по чл. 4б, ал. 1 в универсален пенсионен фонд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124а. (1) Лицата по чл. 4б, ал. 1, които са избрали да променят осигуряването си от универсален пенсионен фонд във фонд „Пенсии“, съответно във фонд „Пенсии за лицата по чл. 69“, могат да изберат да възобновят осигуряването си в универсален пенсионен фонд не по-късно от 5 години преди възраст</w:t>
                  </w:r>
                  <w:r w:rsidRPr="000316D3">
                    <w:rPr>
                      <w:rFonts w:ascii="Verdana" w:eastAsia="Times New Roman" w:hAnsi="Verdana" w:cs="Times New Roman"/>
                      <w:color w:val="000000"/>
                      <w:sz w:val="17"/>
                      <w:szCs w:val="17"/>
                      <w:lang w:val="bg-BG"/>
                    </w:rPr>
                    <w:softHyphen/>
                    <w:t>та по чл. 68, ал. 1 и ако не им е отпусната пенсия за осигурителен стаж и възраст.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Лицата по ал. 1 могат да упражнят правото си на избор след изтичане на една година от избора по чл. 4б,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(3) Осигуряването по ал. 1 възниква от първо число на месеца, следващ месеца на избора.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(4) Изборът на осигуряване, редът и начинът за събиране и разпределение на увеличената осигурителна вноска за лицата по ал. 1 се уреждат с наредбата по чл. 179, ал. 3 от Данъчно-осигурителния процесуален кодекс.“</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33.</w:t>
                  </w:r>
                  <w:r w:rsidRPr="000316D3">
                    <w:rPr>
                      <w:rFonts w:ascii="Verdana" w:eastAsia="Times New Roman" w:hAnsi="Verdana" w:cs="Times New Roman"/>
                      <w:color w:val="000000"/>
                      <w:sz w:val="17"/>
                      <w:szCs w:val="17"/>
                      <w:lang w:val="bg-BG"/>
                    </w:rPr>
                    <w:t> В чл. 125, ал. 1 т. 1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задължителност на участието с изключение на лицата, осигуряващи се по реда на чл. 4б, ал. 1 и/или чл. 4в, ал. 1 във фонд „Пенсии“;“.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34.</w:t>
                  </w:r>
                  <w:r w:rsidRPr="000316D3">
                    <w:rPr>
                      <w:rFonts w:ascii="Verdana" w:eastAsia="Times New Roman" w:hAnsi="Verdana" w:cs="Times New Roman"/>
                      <w:color w:val="000000"/>
                      <w:sz w:val="17"/>
                      <w:szCs w:val="17"/>
                      <w:lang w:val="bg-BG"/>
                    </w:rPr>
                    <w:t> В чл. 127 ал. 3, 6, 7 и 8 се отменят.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35.</w:t>
                  </w:r>
                  <w:r w:rsidRPr="000316D3">
                    <w:rPr>
                      <w:rFonts w:ascii="Verdana" w:eastAsia="Times New Roman" w:hAnsi="Verdana" w:cs="Times New Roman"/>
                      <w:color w:val="000000"/>
                      <w:sz w:val="17"/>
                      <w:szCs w:val="17"/>
                      <w:lang w:val="bg-BG"/>
                    </w:rPr>
                    <w:t> В чл. 129 се създават ал. 12 – 19: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„(12) При промяна на осигуряването от универсален пенсионен фонд във фонд „Пенсии“, съответно във фонд „Пенсии за лицата по чл. 69“, натрупаните средства в индивидуалната партида на осигурените лица постъпват в Държавния фонд за гарантиране устойчивостта на държавната пенсионна система.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(13) Натрупаните средства в индивидуалната партида на осигурените лица по ал. 1 се превеждат от съответния универсален пенсионен фонд по сметка на Националната агенция за приходите в 6-месечен срок от възникване на осигуряването във фонд „Пенсии“, съответно във фонд „Пенсии за лицата по чл. 69“.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(14) При промяна на осигуряването от фонд „Пенсии“, съответно от фонд „Пенсии за лицата по чл. 69“, в универсален пенсионен фонд, ако за лицето има преведени средства в Държавния фонд за гарантиране устойчивостта на държавната пенсионна система, те се прехвърлят по индивидуалната му партида в избрания от него универсален пенсионен фонд.</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(15) При отпускане на пенсия по дял първи на лице, за което са прехвърлени средства по реда на ал. 1, същите се прехвърлят във фонд „Пенсии“, съответно във фонд „Пенсии за лицата по чл. 69“, на държавното обществено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(16) Операциите по ал. 12 – 15 са за сметка на бюджетните взаимоотношения с централния бюджет и/или на финансиране по чл. 154, ал. 16 от Закона за публичните финанси.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(17) Натрупаните средства по индивидуалните партиди на лицата по чл. 4в, ал. 1 се превеждат във фонд „Пенсии“ в 6-месечен срок от избора.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(18) Министърът на финансите определя реда и начина за извършването и отчитането на операции по сметки на Националната агенция за приходите, централния бюджет, Държавния фонд за гарантиране устойчивостта на държавната пенсионна система и бюджета на държавното обществено осигуряване, произтичащи от прилагането на ал. 12 – 15.</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(19) Редът и начинът за прехвърлянето на натрупаните средства по ал. 13, 14 и 16 и обменът на информацията (данните) се уреждат с наредбата по чл. 179, ал. 3 от Данъчно-осигурителния процесуален кодекс.“</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36. </w:t>
                  </w:r>
                  <w:r w:rsidRPr="000316D3">
                    <w:rPr>
                      <w:rFonts w:ascii="Verdana" w:eastAsia="Times New Roman" w:hAnsi="Verdana" w:cs="Times New Roman"/>
                      <w:color w:val="000000"/>
                      <w:sz w:val="17"/>
                      <w:szCs w:val="17"/>
                      <w:lang w:val="bg-BG"/>
                    </w:rPr>
                    <w:t>В чл. 137 се правят следните изменения: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Алинея 3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 xml:space="preserve">„(3) Осигурените лица участват в универсален пенсионен фонд чрез индивидуално заявление до </w:t>
                  </w:r>
                  <w:proofErr w:type="spellStart"/>
                  <w:r w:rsidRPr="000316D3">
                    <w:rPr>
                      <w:rFonts w:ascii="Verdana" w:eastAsia="Times New Roman" w:hAnsi="Verdana" w:cs="Times New Roman"/>
                      <w:color w:val="000000"/>
                      <w:sz w:val="17"/>
                      <w:szCs w:val="17"/>
                      <w:lang w:val="bg-BG"/>
                    </w:rPr>
                    <w:t>пенсионноосигурителното</w:t>
                  </w:r>
                  <w:proofErr w:type="spellEnd"/>
                  <w:r w:rsidRPr="000316D3">
                    <w:rPr>
                      <w:rFonts w:ascii="Verdana" w:eastAsia="Times New Roman" w:hAnsi="Verdana" w:cs="Times New Roman"/>
                      <w:color w:val="000000"/>
                      <w:sz w:val="17"/>
                      <w:szCs w:val="17"/>
                      <w:lang w:val="bg-BG"/>
                    </w:rPr>
                    <w:t xml:space="preserve"> дружество, подадено в срок до три месеца от първоначалното възникване на задължение за осигуряване. Индивидуално заявление до </w:t>
                  </w:r>
                  <w:proofErr w:type="spellStart"/>
                  <w:r w:rsidRPr="000316D3">
                    <w:rPr>
                      <w:rFonts w:ascii="Verdana" w:eastAsia="Times New Roman" w:hAnsi="Verdana" w:cs="Times New Roman"/>
                      <w:color w:val="000000"/>
                      <w:sz w:val="17"/>
                      <w:szCs w:val="17"/>
                      <w:lang w:val="bg-BG"/>
                    </w:rPr>
                    <w:t>пенсионноосигурително</w:t>
                  </w:r>
                  <w:proofErr w:type="spellEnd"/>
                  <w:r w:rsidRPr="000316D3">
                    <w:rPr>
                      <w:rFonts w:ascii="Verdana" w:eastAsia="Times New Roman" w:hAnsi="Verdana" w:cs="Times New Roman"/>
                      <w:color w:val="000000"/>
                      <w:sz w:val="17"/>
                      <w:szCs w:val="17"/>
                      <w:lang w:val="bg-BG"/>
                    </w:rPr>
                    <w:t xml:space="preserve"> дружество се подава и от лицата по чл. 124а, ал. 1. Редът за подаване на заявлението и изискванията към формата и съдържанието му се определят с наредба на комисията.“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Алинея 4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„(4) За лицата, които не са избрали универсален пенсионен фонд по реда на ал. 3, се извършва служебно разпределение по регистрираните универсални фондове по начин и по ред, определени от Националната агенция за приходите и от комисията.“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37.</w:t>
                  </w:r>
                  <w:r w:rsidRPr="000316D3">
                    <w:rPr>
                      <w:rFonts w:ascii="Verdana" w:eastAsia="Times New Roman" w:hAnsi="Verdana" w:cs="Times New Roman"/>
                      <w:color w:val="000000"/>
                      <w:sz w:val="17"/>
                      <w:szCs w:val="17"/>
                      <w:lang w:val="bg-BG"/>
                    </w:rPr>
                    <w:t> В чл. 139, ал. 1, т. 2 думата „пожизнено“ се заличава и числото „70,99“ се заменя с „89,99“.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38.</w:t>
                  </w:r>
                  <w:r w:rsidRPr="000316D3">
                    <w:rPr>
                      <w:rFonts w:ascii="Verdana" w:eastAsia="Times New Roman" w:hAnsi="Verdana" w:cs="Times New Roman"/>
                      <w:color w:val="000000"/>
                      <w:sz w:val="17"/>
                      <w:szCs w:val="17"/>
                      <w:lang w:val="bg-BG"/>
                    </w:rPr>
                    <w:t> В чл. 142, ал. 1, т. 2 думата „пожизнено“ се заличава и числото „70,99“ се заменя с „89,99“.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39.</w:t>
                  </w:r>
                  <w:r w:rsidRPr="000316D3">
                    <w:rPr>
                      <w:rFonts w:ascii="Verdana" w:eastAsia="Times New Roman" w:hAnsi="Verdana" w:cs="Times New Roman"/>
                      <w:color w:val="000000"/>
                      <w:sz w:val="17"/>
                      <w:szCs w:val="17"/>
                      <w:lang w:val="bg-BG"/>
                    </w:rPr>
                    <w:t> В чл. 157 се правят следните изменения: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В ал. 1, т. 1 буква „г“ се отменя.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2. В ал. 3:</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a) в т. 1 думите „а от 1 януари 2017 г. – 2,8 на сто“ се заличават;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lastRenderedPageBreak/>
                    <w:t>б) в т. 2 думите „а от 1 януари 2017 г. – 4,2 на сто“ се заличават.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z w:val="17"/>
                      <w:szCs w:val="17"/>
                      <w:lang w:val="bg-BG"/>
                    </w:rPr>
                    <w:t>§ 40. </w:t>
                  </w:r>
                  <w:r w:rsidRPr="000316D3">
                    <w:rPr>
                      <w:rFonts w:ascii="Verdana" w:eastAsia="Times New Roman" w:hAnsi="Verdana" w:cs="Times New Roman"/>
                      <w:color w:val="000000"/>
                      <w:sz w:val="17"/>
                      <w:szCs w:val="17"/>
                      <w:lang w:val="bg-BG"/>
                    </w:rPr>
                    <w:t>Член 168 се изменя така: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z w:val="17"/>
                      <w:szCs w:val="17"/>
                      <w:lang w:val="bg-BG"/>
                    </w:rPr>
                    <w:t>„Право на професионална пенсия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Чл. 168. (1) От 1 януари 2016 г. осигурените лица в професионален пенсионен фонд придобиват право на пенсия за ранно пенсиониране при: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z w:val="17"/>
                      <w:szCs w:val="17"/>
                      <w:lang w:val="bg-BG"/>
                    </w:rPr>
                    <w:t>1. не по-малко от 10 години осигурителен стаж след 31 декември 1999 г. при условията на първа категория труд и възраст, 10 години по-ниска от възрастта им по чл. 68,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3"/>
                      <w:sz w:val="17"/>
                      <w:szCs w:val="17"/>
                      <w:lang w:val="bg-BG"/>
                    </w:rPr>
                    <w:t>2. не по-малко от 15 години осигурителен стаж след 31 декември 1999 г. при условията на втора категория труд или при условията на първа и втора категория труд и възраст, 5 години по-ниска от възрастта им по чл. 68,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При преценяване правото на пенсия по ал. 1 осигурителният стаж от първа категория труд допълва осигурителния стаж от втора категория труд без превръщане.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Пенсията по ал. 1 се изплаща до навършване на възрастта по чл. 68, ал. 1 и не може да се получава заедно с пенсия за трудова дейност или със социална пенсия за инвалидност по част първа.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Наличието на изискуемия осигурителен стаж се доказва с удостоверение от Националния осигурителен институт.“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41. </w:t>
                  </w:r>
                  <w:r w:rsidRPr="000316D3">
                    <w:rPr>
                      <w:rFonts w:ascii="Verdana" w:eastAsia="Times New Roman" w:hAnsi="Verdana" w:cs="Times New Roman"/>
                      <w:color w:val="000000"/>
                      <w:spacing w:val="1"/>
                      <w:sz w:val="17"/>
                      <w:szCs w:val="17"/>
                      <w:lang w:val="bg-BG"/>
                    </w:rPr>
                    <w:t>В чл. 180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ал. 1 думите „до 31 март всяка година“ се заменят с „всяко тримесечие, до 10-о число на следващия го месец“, а думите „предходната година“ се заменят с „предходното тримесечие“.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В ал.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в т. 1 преди думата „съдържанието“ се добавя „формата 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в т. 2 думите „постигнатите инвестиционни резултати“ се заменят с „постигнатата доходност и равнището на поетите рискове“.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42.</w:t>
                  </w:r>
                  <w:r w:rsidRPr="000316D3">
                    <w:rPr>
                      <w:rFonts w:ascii="Verdana" w:eastAsia="Times New Roman" w:hAnsi="Verdana" w:cs="Times New Roman"/>
                      <w:color w:val="000000"/>
                      <w:spacing w:val="1"/>
                      <w:sz w:val="17"/>
                      <w:szCs w:val="17"/>
                      <w:lang w:val="bg-BG"/>
                    </w:rPr>
                    <w:t> Член 201 се изменя така: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pacing w:val="1"/>
                      <w:sz w:val="17"/>
                      <w:szCs w:val="17"/>
                      <w:lang w:val="bg-BG"/>
                    </w:rPr>
                    <w:t>„Задължителни такси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 xml:space="preserve">Чл. 201. (1) За осъществяване на дейността по допълнително задължително пенсионно осигуряване и за управление на пенсионните фондове се въвеждат такси и удръжки в полза на </w:t>
                  </w:r>
                  <w:proofErr w:type="spellStart"/>
                  <w:r w:rsidRPr="000316D3">
                    <w:rPr>
                      <w:rFonts w:ascii="Verdana" w:eastAsia="Times New Roman" w:hAnsi="Verdana" w:cs="Times New Roman"/>
                      <w:color w:val="000000"/>
                      <w:spacing w:val="1"/>
                      <w:sz w:val="17"/>
                      <w:szCs w:val="17"/>
                      <w:lang w:val="bg-BG"/>
                    </w:rPr>
                    <w:t>пенсионноосигурителните</w:t>
                  </w:r>
                  <w:proofErr w:type="spellEnd"/>
                  <w:r w:rsidRPr="000316D3">
                    <w:rPr>
                      <w:rFonts w:ascii="Verdana" w:eastAsia="Times New Roman" w:hAnsi="Verdana" w:cs="Times New Roman"/>
                      <w:color w:val="000000"/>
                      <w:spacing w:val="1"/>
                      <w:sz w:val="17"/>
                      <w:szCs w:val="17"/>
                      <w:lang w:val="bg-BG"/>
                    </w:rPr>
                    <w:t xml:space="preserve"> дружества, както следва: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удръжка от всяка осигурителна вноска в размер до: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4,5 на сто – за 2016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4,25 на сто – за 2017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в) 4 на сто – за 2018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г) 3,75 на сто – от 2019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 xml:space="preserve">2. инвестиционна такса, изчислена върху стойността на нетните активи на фонда в зависимост от периода, през който те са били управлявани от </w:t>
                  </w:r>
                  <w:proofErr w:type="spellStart"/>
                  <w:r w:rsidRPr="000316D3">
                    <w:rPr>
                      <w:rFonts w:ascii="Verdana" w:eastAsia="Times New Roman" w:hAnsi="Verdana" w:cs="Times New Roman"/>
                      <w:color w:val="000000"/>
                      <w:spacing w:val="1"/>
                      <w:sz w:val="17"/>
                      <w:szCs w:val="17"/>
                      <w:lang w:val="bg-BG"/>
                    </w:rPr>
                    <w:t>пенсионноосигурителното</w:t>
                  </w:r>
                  <w:proofErr w:type="spellEnd"/>
                  <w:r w:rsidRPr="000316D3">
                    <w:rPr>
                      <w:rFonts w:ascii="Verdana" w:eastAsia="Times New Roman" w:hAnsi="Verdana" w:cs="Times New Roman"/>
                      <w:color w:val="000000"/>
                      <w:spacing w:val="1"/>
                      <w:sz w:val="17"/>
                      <w:szCs w:val="17"/>
                      <w:lang w:val="bg-BG"/>
                    </w:rPr>
                    <w:t xml:space="preserve"> дружество, както следва: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до 0,9 на сто годишно – за 2016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до 0,85 на сто годишно – за 2017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в) до 0,8 на сто годишно – за 2018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г) до 0,75 на сто годишно – от 2019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Таксата по ал. 1, т. 2 се отчислява по ред и начин, определени с наредба на комисията.“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43. </w:t>
                  </w:r>
                  <w:r w:rsidRPr="000316D3">
                    <w:rPr>
                      <w:rFonts w:ascii="Verdana" w:eastAsia="Times New Roman" w:hAnsi="Verdana" w:cs="Times New Roman"/>
                      <w:color w:val="000000"/>
                      <w:spacing w:val="1"/>
                      <w:sz w:val="17"/>
                      <w:szCs w:val="17"/>
                      <w:lang w:val="bg-BG"/>
                    </w:rPr>
                    <w:t>Член 202 се изменя така:</w:t>
                  </w:r>
                </w:p>
                <w:p w:rsidR="00BB3022" w:rsidRPr="000316D3" w:rsidRDefault="00BB3022" w:rsidP="00BB3022">
                  <w:pPr>
                    <w:keepNext/>
                    <w:spacing w:after="28"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i/>
                      <w:iCs/>
                      <w:color w:val="000000"/>
                      <w:spacing w:val="1"/>
                      <w:sz w:val="17"/>
                      <w:szCs w:val="17"/>
                      <w:lang w:val="bg-BG"/>
                    </w:rPr>
                    <w:t>„Допълнителна такса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 xml:space="preserve">Чл. 202. </w:t>
                  </w:r>
                  <w:proofErr w:type="spellStart"/>
                  <w:r w:rsidRPr="000316D3">
                    <w:rPr>
                      <w:rFonts w:ascii="Verdana" w:eastAsia="Times New Roman" w:hAnsi="Verdana" w:cs="Times New Roman"/>
                      <w:color w:val="000000"/>
                      <w:spacing w:val="1"/>
                      <w:sz w:val="17"/>
                      <w:szCs w:val="17"/>
                      <w:lang w:val="bg-BG"/>
                    </w:rPr>
                    <w:t>Пенсионноосигурителното</w:t>
                  </w:r>
                  <w:proofErr w:type="spellEnd"/>
                  <w:r w:rsidRPr="000316D3">
                    <w:rPr>
                      <w:rFonts w:ascii="Verdana" w:eastAsia="Times New Roman" w:hAnsi="Verdana" w:cs="Times New Roman"/>
                      <w:color w:val="000000"/>
                      <w:spacing w:val="1"/>
                      <w:sz w:val="17"/>
                      <w:szCs w:val="17"/>
                      <w:lang w:val="bg-BG"/>
                    </w:rPr>
                    <w:t xml:space="preserve"> дружество може да събира допълнителна такса в размер до 10 лв. при прехвърляне на средствата по индивидуалната партида в пенсионна схема съгласно чл. 343а, ал. 1, т. 2 или чл. 343е, ал. 1. Таксата се заплаща от осигуреното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44. </w:t>
                  </w:r>
                  <w:r w:rsidRPr="000316D3">
                    <w:rPr>
                      <w:rFonts w:ascii="Verdana" w:eastAsia="Times New Roman" w:hAnsi="Verdana" w:cs="Times New Roman"/>
                      <w:color w:val="000000"/>
                      <w:spacing w:val="1"/>
                      <w:sz w:val="17"/>
                      <w:szCs w:val="17"/>
                      <w:lang w:val="bg-BG"/>
                    </w:rPr>
                    <w:t>В чл. 355, ал. 1 думите „чл. 6, ал. 8“ се заменят с „чл. 6,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45. </w:t>
                  </w:r>
                  <w:r w:rsidRPr="000316D3">
                    <w:rPr>
                      <w:rFonts w:ascii="Verdana" w:eastAsia="Times New Roman" w:hAnsi="Verdana" w:cs="Times New Roman"/>
                      <w:color w:val="000000"/>
                      <w:spacing w:val="1"/>
                      <w:sz w:val="17"/>
                      <w:szCs w:val="17"/>
                      <w:lang w:val="bg-BG"/>
                    </w:rPr>
                    <w:t>В допълнителните разпоредби в § 1, ал. 2 се правят следните изменения: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т. 3 буква „д“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„д) лицата, едното от които притежава пряко и/или чрез контролирано лице/лица 20 или повече от 20 на сто от капитала или от броя на гласовете в общото събрание на другото юридическо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Точка 4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„Контрол“ е налице, когато определено физическо или юридическо лице (контролиращият):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може да упражнява пряко и/или чрез контролирано лице/лица повече от половината от гласовете в общото събрание на юридическо лице, или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може да определя повече от половината от членовете на управителния или контролния орган на юридическо лице и същевременно е акционер или съдружник в това лице, или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в) има право да упражнява решаващо влияние върху юридическо лице по силата на сключен с това лице договор или на неговия учредителен акт или устав, ако това е допустимо съгласно законодателството, приложимо към това юридическо лице, или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г) е акционер или съдружник в дружество, 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proofErr w:type="spellStart"/>
                  <w:r w:rsidRPr="000316D3">
                    <w:rPr>
                      <w:rFonts w:ascii="Verdana" w:eastAsia="Times New Roman" w:hAnsi="Verdana" w:cs="Times New Roman"/>
                      <w:color w:val="000000"/>
                      <w:spacing w:val="1"/>
                      <w:sz w:val="17"/>
                      <w:szCs w:val="17"/>
                      <w:lang w:val="bg-BG"/>
                    </w:rPr>
                    <w:t>аа</w:t>
                  </w:r>
                  <w:proofErr w:type="spellEnd"/>
                  <w:r w:rsidRPr="000316D3">
                    <w:rPr>
                      <w:rFonts w:ascii="Verdana" w:eastAsia="Times New Roman" w:hAnsi="Verdana" w:cs="Times New Roman"/>
                      <w:color w:val="000000"/>
                      <w:spacing w:val="1"/>
                      <w:sz w:val="17"/>
                      <w:szCs w:val="17"/>
                      <w:lang w:val="bg-BG"/>
                    </w:rPr>
                    <w:t xml:space="preserve">) повече от половината от членовете на управителния или контролния орган на това юридическо лице, които са изпълнявали съответните функции през предходната и текущата финансова година и до момента на изготвяне на консолидираните финансови отчети, са определени </w:t>
                  </w:r>
                  <w:r w:rsidRPr="000316D3">
                    <w:rPr>
                      <w:rFonts w:ascii="Verdana" w:eastAsia="Times New Roman" w:hAnsi="Verdana" w:cs="Times New Roman"/>
                      <w:color w:val="000000"/>
                      <w:spacing w:val="1"/>
                      <w:sz w:val="17"/>
                      <w:szCs w:val="17"/>
                      <w:lang w:val="bg-BG"/>
                    </w:rPr>
                    <w:lastRenderedPageBreak/>
                    <w:t>единствено в резултат на упражняването на неговото право на глас, или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proofErr w:type="spellStart"/>
                  <w:r w:rsidRPr="000316D3">
                    <w:rPr>
                      <w:rFonts w:ascii="Verdana" w:eastAsia="Times New Roman" w:hAnsi="Verdana" w:cs="Times New Roman"/>
                      <w:color w:val="000000"/>
                      <w:spacing w:val="1"/>
                      <w:sz w:val="17"/>
                      <w:szCs w:val="17"/>
                      <w:lang w:val="bg-BG"/>
                    </w:rPr>
                    <w:t>бб</w:t>
                  </w:r>
                  <w:proofErr w:type="spellEnd"/>
                  <w:r w:rsidRPr="000316D3">
                    <w:rPr>
                      <w:rFonts w:ascii="Verdana" w:eastAsia="Times New Roman" w:hAnsi="Verdana" w:cs="Times New Roman"/>
                      <w:color w:val="000000"/>
                      <w:spacing w:val="1"/>
                      <w:sz w:val="17"/>
                      <w:szCs w:val="17"/>
                      <w:lang w:val="bg-BG"/>
                    </w:rPr>
                    <w:t xml:space="preserve">) което самостоятелно контролира по силата на договор с други акционери или </w:t>
                  </w:r>
                  <w:proofErr w:type="spellStart"/>
                  <w:r w:rsidRPr="000316D3">
                    <w:rPr>
                      <w:rFonts w:ascii="Verdana" w:eastAsia="Times New Roman" w:hAnsi="Verdana" w:cs="Times New Roman"/>
                      <w:color w:val="000000"/>
                      <w:spacing w:val="1"/>
                      <w:sz w:val="17"/>
                      <w:szCs w:val="17"/>
                      <w:lang w:val="bg-BG"/>
                    </w:rPr>
                    <w:t>съдружници</w:t>
                  </w:r>
                  <w:proofErr w:type="spellEnd"/>
                  <w:r w:rsidRPr="000316D3">
                    <w:rPr>
                      <w:rFonts w:ascii="Verdana" w:eastAsia="Times New Roman" w:hAnsi="Verdana" w:cs="Times New Roman"/>
                      <w:color w:val="000000"/>
                      <w:spacing w:val="1"/>
                      <w:sz w:val="17"/>
                      <w:szCs w:val="17"/>
                      <w:lang w:val="bg-BG"/>
                    </w:rPr>
                    <w:t xml:space="preserve"> в това юридическо лице повече от половината от гласовете в общото събрание на това юридическо лице, или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 xml:space="preserve">д) по силата на закон, </w:t>
                  </w:r>
                  <w:proofErr w:type="spellStart"/>
                  <w:r w:rsidRPr="000316D3">
                    <w:rPr>
                      <w:rFonts w:ascii="Verdana" w:eastAsia="Times New Roman" w:hAnsi="Verdana" w:cs="Times New Roman"/>
                      <w:color w:val="000000"/>
                      <w:spacing w:val="1"/>
                      <w:sz w:val="17"/>
                      <w:szCs w:val="17"/>
                      <w:lang w:val="bg-BG"/>
                    </w:rPr>
                    <w:t>устройствен</w:t>
                  </w:r>
                  <w:proofErr w:type="spellEnd"/>
                  <w:r w:rsidRPr="000316D3">
                    <w:rPr>
                      <w:rFonts w:ascii="Verdana" w:eastAsia="Times New Roman" w:hAnsi="Verdana" w:cs="Times New Roman"/>
                      <w:color w:val="000000"/>
                      <w:spacing w:val="1"/>
                      <w:sz w:val="17"/>
                      <w:szCs w:val="17"/>
                      <w:lang w:val="bg-BG"/>
                    </w:rPr>
                    <w:t xml:space="preserve"> акт или споразумение управлява, представлява и/или определя инвестиционната политика на друго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В случаите по букви „а“, „б“ и „г“ към гласовете на контролиращия се прибавят и гласовете на юридическите лица, върху които той упражнява контрол, както и гласовете на лицата, които действат от свое име, но за негова сметка или за сметка на контролирано от него юридическо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 xml:space="preserve">В случаите по букви „а“, „б“ и „г“ гласовете на контролиращия се намаляват с гласовете по акциите, държани за сметка на лице, което не е нито контролиращият, нито контролирано от него юридическо лице, както и с гласовете по акциите, които са предмет на залог, ако правата по тях се упражняват по нареждане и в интерес на </w:t>
                  </w:r>
                  <w:proofErr w:type="spellStart"/>
                  <w:r w:rsidRPr="000316D3">
                    <w:rPr>
                      <w:rFonts w:ascii="Verdana" w:eastAsia="Times New Roman" w:hAnsi="Verdana" w:cs="Times New Roman"/>
                      <w:color w:val="000000"/>
                      <w:spacing w:val="1"/>
                      <w:sz w:val="17"/>
                      <w:szCs w:val="17"/>
                      <w:lang w:val="bg-BG"/>
                    </w:rPr>
                    <w:t>залогодателя</w:t>
                  </w:r>
                  <w:proofErr w:type="spellEnd"/>
                  <w:r w:rsidRPr="000316D3">
                    <w:rPr>
                      <w:rFonts w:ascii="Verdana" w:eastAsia="Times New Roman" w:hAnsi="Verdana" w:cs="Times New Roman"/>
                      <w:color w:val="000000"/>
                      <w:spacing w:val="1"/>
                      <w:sz w:val="17"/>
                      <w:szCs w:val="17"/>
                      <w:lang w:val="bg-BG"/>
                    </w:rPr>
                    <w:t>.</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В случаите по букви „а“ и „г“ гласовете на контролиращия се намаляват с гласовете по акциите, притежавани от самото контролирано от него лице чрез лице, което то контролира, или чрез лице, което действа от свое име, но за сметка на контролиращия и на контролираното от него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46.</w:t>
                  </w:r>
                  <w:r w:rsidRPr="000316D3">
                    <w:rPr>
                      <w:rFonts w:ascii="Verdana" w:eastAsia="Times New Roman" w:hAnsi="Verdana" w:cs="Times New Roman"/>
                      <w:color w:val="000000"/>
                      <w:spacing w:val="1"/>
                      <w:sz w:val="17"/>
                      <w:szCs w:val="17"/>
                      <w:lang w:val="bg-BG"/>
                    </w:rPr>
                    <w:t> В преходните и заключителните разпоредби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 4б ал. 5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„(5) При отпускане на пенсия по чл. 168 Националният осигурителен институт превежда прехвърлените на основание § 4а, ал. 1 средства от професионалния пенсионен фонд, в който лицето е било осигурено към 31 декември 2010 г., и постъпилите осигурителни вноски във фонд „Пенсии“ след тази дата до 17 юни 2011 г. включително, по сметката на професионалния пенсионен фонд, който отпуска пенсията. Средствата се прехвърлят в 14-дневен срок от уведомяването на Националния осигурителен институт, че е отпусната пенсия от професионален пенсионен фонд.“</w:t>
                  </w:r>
                </w:p>
                <w:p w:rsidR="00BB3022" w:rsidRPr="00FB3190"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lang w:val="bg-BG"/>
                    </w:rPr>
                  </w:pPr>
                  <w:r w:rsidRPr="00FB3190">
                    <w:rPr>
                      <w:rFonts w:ascii="Times New Roman" w:eastAsia="Times New Roman" w:hAnsi="Times New Roman" w:cs="Times New Roman"/>
                      <w:color w:val="000000"/>
                      <w:spacing w:val="1"/>
                      <w:sz w:val="28"/>
                      <w:szCs w:val="28"/>
                      <w:highlight w:val="yellow"/>
                      <w:lang w:val="bg-BG"/>
                    </w:rPr>
                    <w:t>2. Параграф 5 се отменя.</w:t>
                  </w:r>
                  <w:r w:rsidRPr="00FB3190">
                    <w:rPr>
                      <w:rFonts w:ascii="Times New Roman" w:eastAsia="Times New Roman" w:hAnsi="Times New Roman" w:cs="Times New Roman"/>
                      <w:color w:val="000000"/>
                      <w:spacing w:val="1"/>
                      <w:sz w:val="28"/>
                      <w:szCs w:val="28"/>
                      <w:lang w:val="bg-BG"/>
                    </w:rPr>
                    <w:t>        </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В § 6, ал. 1 след думите „35 на сто“ се поставя запетая, добавя се „а от 1 юли 2019 г. – 40 на сто“ и се поставя запетая.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В § 22: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в ал. 1 думите „до трансформирането му в универсален пенсионен фонд“ се заличават;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алинеи 2, 3, 4, 5, 6 и 7 се отменят.</w:t>
                  </w:r>
                </w:p>
                <w:p w:rsidR="00BB3022" w:rsidRPr="000316D3" w:rsidRDefault="00BB3022" w:rsidP="00BB3022">
                  <w:pPr>
                    <w:spacing w:after="57" w:line="185" w:lineRule="atLeast"/>
                    <w:jc w:val="center"/>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Преходни и заключителни разпоредби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47.</w:t>
                  </w:r>
                  <w:r w:rsidRPr="000316D3">
                    <w:rPr>
                      <w:rFonts w:ascii="Verdana" w:eastAsia="Times New Roman" w:hAnsi="Verdana" w:cs="Times New Roman"/>
                      <w:color w:val="000000"/>
                      <w:spacing w:val="1"/>
                      <w:sz w:val="17"/>
                      <w:szCs w:val="17"/>
                      <w:lang w:val="bg-BG"/>
                    </w:rPr>
                    <w:t> (1) Пенсиите за осигурителен стаж и възраст на лицата по чл. 4, ал. 1, т. 1 – 4 и 6 и чл. 4а, осигуряването на които е прекратено след придобиване на правото на пенсия, но не по-късно от 31 декември 2014 г., се отпускат от датата на прекратяване на осигуряването, ако заявлението с необходимите документи е подадено в 6-месечен срок от тази дата. Ако заявлението е подадено след изтичане на 6-месечния срок от прекратяване на осигуряването, пенсиите се отпускат от датата на подаване на заявлението.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Лицата с отпуснати пенсии за осигурителен стаж и възраст при условията на чл. 94, ал. 1 по заявления, подадени след 31 декември 2014 г., могат в 6-месечен срок от обнародването на закона да поискат пенсиите да им бъдат отпуснати при условията на ал. 1.</w:t>
                  </w:r>
                </w:p>
                <w:p w:rsidR="00BB3022" w:rsidRPr="00FB3190"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lang w:val="bg-BG"/>
                    </w:rPr>
                  </w:pPr>
                  <w:r w:rsidRPr="00FB3190">
                    <w:rPr>
                      <w:rFonts w:ascii="Times New Roman" w:eastAsia="Times New Roman" w:hAnsi="Times New Roman" w:cs="Times New Roman"/>
                      <w:color w:val="000000"/>
                      <w:spacing w:val="1"/>
                      <w:sz w:val="28"/>
                      <w:szCs w:val="28"/>
                      <w:highlight w:val="yellow"/>
                      <w:lang w:val="bg-BG"/>
                    </w:rPr>
                    <w:t>(3) Пенсиите на учителите, отпуснати по § 5, ал. 2 от преходните и заключителните разпоредби с начална дата до 31 декември 2015 г., се изплащат в намален размер до навършване от лицето на възрастта за придобиване право на пенсия по чл. 68,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48. </w:t>
                  </w:r>
                  <w:r w:rsidRPr="000316D3">
                    <w:rPr>
                      <w:rFonts w:ascii="Verdana" w:eastAsia="Times New Roman" w:hAnsi="Verdana" w:cs="Times New Roman"/>
                      <w:color w:val="000000"/>
                      <w:spacing w:val="1"/>
                      <w:sz w:val="17"/>
                      <w:szCs w:val="17"/>
                      <w:lang w:val="bg-BG"/>
                    </w:rPr>
                    <w:t>За осигурените лица, родени след 31 декември 1959 г., за които е възникнало първоначално задължение за осигуряване след 31 декември 2014 г. до влизането в сила на този закон и които не са направили избор по реда на чл. 137, ал. 3, се извършва служебно разпределение по регистрираните универсални фондове по начин и по ред, определени от Националната агенция за приходите и от комисията по чл. 120б, ал. 2.</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49.</w:t>
                  </w:r>
                  <w:r w:rsidRPr="000316D3">
                    <w:rPr>
                      <w:rFonts w:ascii="Verdana" w:eastAsia="Times New Roman" w:hAnsi="Verdana" w:cs="Times New Roman"/>
                      <w:color w:val="000000"/>
                      <w:spacing w:val="1"/>
                      <w:sz w:val="17"/>
                      <w:szCs w:val="17"/>
                      <w:lang w:val="bg-BG"/>
                    </w:rPr>
                    <w:t> Лицата по чл. 69, които имат необходимия осигурителен стаж за придобиване право на пенсия, могат да се пенсионират, без да се изисква освобождаване от служба, съответно уволнение или прекратяване на правоотношението.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50. </w:t>
                  </w:r>
                  <w:r w:rsidRPr="000316D3">
                    <w:rPr>
                      <w:rFonts w:ascii="Verdana" w:eastAsia="Times New Roman" w:hAnsi="Verdana" w:cs="Times New Roman"/>
                      <w:color w:val="000000"/>
                      <w:spacing w:val="1"/>
                      <w:sz w:val="17"/>
                      <w:szCs w:val="17"/>
                      <w:lang w:val="bg-BG"/>
                    </w:rPr>
                    <w:t>Лицата по чл. 69, които до 31 декември 2015 г. имат необходимия осигурителен стаж за придобиване право на пенсия, могат да се пенсионират независимо от възрастта им до 31 декември 2018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51.</w:t>
                  </w:r>
                  <w:r w:rsidRPr="000316D3">
                    <w:rPr>
                      <w:rFonts w:ascii="Verdana" w:eastAsia="Times New Roman" w:hAnsi="Verdana" w:cs="Times New Roman"/>
                      <w:color w:val="000000"/>
                      <w:spacing w:val="1"/>
                      <w:sz w:val="17"/>
                      <w:szCs w:val="17"/>
                      <w:lang w:val="bg-BG"/>
                    </w:rPr>
                    <w:t xml:space="preserve"> (1) Лицата, на които е отпусната пенсия от държавното обществено осигуряване с начална дата до 31 декември 2015 г. и с намален индивидуален коефициент съгласно отменената ал. 3 на чл. 127, могат да поискат преизчисляването й, ако в срок до 31 декември 2016 г. изберат да прехвърлят средствата от индивидуалните си партиди в универсален пенсионен фонд във фонд „Пенсии“ на държавното обществено осигуряване. Натрупаните средства в индивидуалната партида на </w:t>
                  </w:r>
                  <w:r w:rsidRPr="000316D3">
                    <w:rPr>
                      <w:rFonts w:ascii="Verdana" w:eastAsia="Times New Roman" w:hAnsi="Verdana" w:cs="Times New Roman"/>
                      <w:color w:val="000000"/>
                      <w:spacing w:val="1"/>
                      <w:sz w:val="17"/>
                      <w:szCs w:val="17"/>
                      <w:lang w:val="bg-BG"/>
                    </w:rPr>
                    <w:lastRenderedPageBreak/>
                    <w:t>осигуреното лице се превеждат от съответния универсален пенсионен фонд във фонд „Пенсии“, съответно във фонд „Пенсии за лицата по чл. 69“ на държавното обществено осигуряване, в тримесечен срок от датата на избора. В този случай пенсията се преизчислява от първо число на месеца, следващ този, през който е направен изборът. Осигурителните вноски за допълнително задължително пенсионно осигуряване след преизчисляването на пенсията се превеждат във фонд „Пенсии“.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Лицата, на които към 1 януари 2016 г. остават по-малко от 5 години до навършване на възрастта по чл. 68, ал. 1, могат до 31 декември 2016 г. еднократно да упражнят правото по чл. 4б на избор за промяна на осигуряването им от универсален пенсионен фонд във фонд „Пенсии“, съответно фонд „Пенсии за лицата по чл. 69“ на държавното обществено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52. </w:t>
                  </w:r>
                  <w:r w:rsidRPr="000316D3">
                    <w:rPr>
                      <w:rFonts w:ascii="Verdana" w:eastAsia="Times New Roman" w:hAnsi="Verdana" w:cs="Times New Roman"/>
                      <w:color w:val="000000"/>
                      <w:spacing w:val="1"/>
                      <w:sz w:val="17"/>
                      <w:szCs w:val="17"/>
                      <w:lang w:val="bg-BG"/>
                    </w:rPr>
                    <w:t>Лицата, които имат отпусната пенсия с разпореждане, влязло в сила до 31 декември 2015 г., могат да поискат до 31 декември 2016 г. преизчисляване на пенсията от осигурителния доход за друг тригодишен период преди 1 януари 1997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53.</w:t>
                  </w:r>
                  <w:r w:rsidRPr="000316D3">
                    <w:rPr>
                      <w:rFonts w:ascii="Verdana" w:eastAsia="Times New Roman" w:hAnsi="Verdana" w:cs="Times New Roman"/>
                      <w:color w:val="000000"/>
                      <w:spacing w:val="1"/>
                      <w:sz w:val="17"/>
                      <w:szCs w:val="17"/>
                      <w:lang w:val="bg-BG"/>
                    </w:rPr>
                    <w:t> (1) От 2017 г. до годината, в която процентът по чл. 70, ал. 1 достигне 1,5, пенсиите не се осъвременяват по чл. 100.</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Пенсиите, отпуснати с начална дата до 31 декември на годината, в която процентът по чл. 70, ал. 1 достига 1,5, се преизчисляват ежегодно от 1 юли на всяка календарна година, следваща годината на отпускането на пенсията, със съответния процент по чл. 70, ал. 1, изречение второ. Пенсиите за трудова злополука и професионална болест се преизчисляват ежегодно от 1 юли на всяка календарна година, като коефициентът по чл. 79, ал. 1, т. 1 – 3 се увеличава с процента по чл. 70, ал. 1, изречение второ.</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54.</w:t>
                  </w:r>
                  <w:r w:rsidRPr="000316D3">
                    <w:rPr>
                      <w:rFonts w:ascii="Verdana" w:eastAsia="Times New Roman" w:hAnsi="Verdana" w:cs="Times New Roman"/>
                      <w:color w:val="000000"/>
                      <w:spacing w:val="1"/>
                      <w:sz w:val="17"/>
                      <w:szCs w:val="17"/>
                      <w:lang w:val="bg-BG"/>
                    </w:rPr>
                    <w:t> В Закона за Държавния фонд за гарантиране устойчивост на държавната пенсионна система (обн., ДВ, бр. 98 от 2008 г.; изм., бр. 99 от 2009 г. и бр. 15 от 2013 г.) се правят следните изменения и допълнения: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чл. 1 се създава ал. 4:</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Във фонда се съхраняват и преведените средства по чл. 129, ал. 12 от Кодекса за социално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В чл. 13, ал. 1, т. 1 след думата „депозити“ се добавя „и други сметки“.</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В чл. 22 ал. 1 – 4 се изменят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Средствата на фонда се използват единствено за инвестиране с цел извличане на доходност и трансфериране на средства за бюджета на държавното обществено осигуряване за покриване на разходи за пенсии на фонд „Пенсии“, съответно на фонд „Пенсии за лицата по чл. 69“, както и за възстановяване на прехвърлени средства в случаите по чл. 129, ал. 14 от Кодекса за социално осигуряване, включително за разходи за пенсии при отпускане на пенсия по дял първи на Кодекса за социално осигуряване на лица, за които са преведени средства за фонда съгласно чл. 129, ал. 12 и 13 от Кодекса за социално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Трансферирането, както и възстановяването на прехвърлени средства по ал. 1, се извършва от сметката на фонда чрез централния бюджет и от съответните сметки на Националния осигурителен институт и на Националната агенция за приходите.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Не се допуска директно трансфериране на средства от фонда към сметки на държавното обществено осигуряване, както и директни разплащания от сметки на фонда за разходи на държавното обществено осигуряване и възстановяване на прехвърлени средства по чл. 129, ал. 14 от Кодекса за социално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От сметките на фонда не могат да се извършват други плащания освен инвестирането на средствата и операциите по ал. 2 и 6.“</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55. </w:t>
                  </w:r>
                  <w:r w:rsidRPr="000316D3">
                    <w:rPr>
                      <w:rFonts w:ascii="Verdana" w:eastAsia="Times New Roman" w:hAnsi="Verdana" w:cs="Times New Roman"/>
                      <w:color w:val="000000"/>
                      <w:spacing w:val="1"/>
                      <w:sz w:val="17"/>
                      <w:szCs w:val="17"/>
                      <w:lang w:val="bg-BG"/>
                    </w:rPr>
                    <w:t>В Данъчно-осигурителния процесуален кодекс (обн., ДВ, бр. 105 от 2005 г.; изм., бр. 30, 33, 34, 59, 63, 73, 80, 82, 86, 95 и 105 от 2006 г., бр. 46, 52, 53, 57, 59, 108 и 109 от 2007 г., бр. 36, 69 и 98 от 2008 г., бр. 12, 32, 41 и 93 от 2009 г., бр. 15, 94, 98, 100 и 101 от 2010 г., бр. 14, 31, 77 и 99 от 2011 г., бр. 26, 38, 40, 82, 94 и 99 от 2012 г. и бр. 52, 98, 106 и 109 от 2013 г., бр. 1 от 2014 г., Решение № 2 на Конституционния съд от 2014 г. – бр. 14 от 2014 г., изм., бр. 18, 40, 53 и 105 от 2014 г. и бр. 12 и 14 от 2015 г.) се правят следните изменения: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чл. 128 ал. 3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4"/>
                      <w:sz w:val="17"/>
                      <w:szCs w:val="17"/>
                      <w:lang w:val="bg-BG"/>
                    </w:rPr>
                    <w:t xml:space="preserve">„(3) Искания за недължимо платени или събрани суми за допълнително задължително пенсионно осигуряване се разглеждат само до размера на наличните средства в индивидуалната партида на лицето в </w:t>
                  </w:r>
                  <w:proofErr w:type="spellStart"/>
                  <w:r w:rsidRPr="000316D3">
                    <w:rPr>
                      <w:rFonts w:ascii="Verdana" w:eastAsia="Times New Roman" w:hAnsi="Verdana" w:cs="Times New Roman"/>
                      <w:color w:val="000000"/>
                      <w:spacing w:val="4"/>
                      <w:sz w:val="17"/>
                      <w:szCs w:val="17"/>
                      <w:lang w:val="bg-BG"/>
                    </w:rPr>
                    <w:t>пенсионноосигурителното</w:t>
                  </w:r>
                  <w:proofErr w:type="spellEnd"/>
                  <w:r w:rsidRPr="000316D3">
                    <w:rPr>
                      <w:rFonts w:ascii="Verdana" w:eastAsia="Times New Roman" w:hAnsi="Verdana" w:cs="Times New Roman"/>
                      <w:color w:val="000000"/>
                      <w:spacing w:val="4"/>
                      <w:sz w:val="17"/>
                      <w:szCs w:val="17"/>
                      <w:lang w:val="bg-BG"/>
                    </w:rPr>
                    <w:t xml:space="preserve"> дружество или до размера на средствата в Държавния фонд за гарантиране устойчивостта на държавната пенсионна система. В останалите случаи отношенията се уреждат между </w:t>
                  </w:r>
                  <w:proofErr w:type="spellStart"/>
                  <w:r w:rsidRPr="000316D3">
                    <w:rPr>
                      <w:rFonts w:ascii="Verdana" w:eastAsia="Times New Roman" w:hAnsi="Verdana" w:cs="Times New Roman"/>
                      <w:color w:val="000000"/>
                      <w:spacing w:val="4"/>
                      <w:sz w:val="17"/>
                      <w:szCs w:val="17"/>
                      <w:lang w:val="bg-BG"/>
                    </w:rPr>
                    <w:t>пенсионноосигурителното</w:t>
                  </w:r>
                  <w:proofErr w:type="spellEnd"/>
                  <w:r w:rsidRPr="000316D3">
                    <w:rPr>
                      <w:rFonts w:ascii="Verdana" w:eastAsia="Times New Roman" w:hAnsi="Verdana" w:cs="Times New Roman"/>
                      <w:color w:val="000000"/>
                      <w:spacing w:val="4"/>
                      <w:sz w:val="17"/>
                      <w:szCs w:val="17"/>
                      <w:lang w:val="bg-BG"/>
                    </w:rPr>
                    <w:t xml:space="preserve"> дружество, осигурителя и осигуреното лице.“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В чл. 179 ал. 2 и 3 се изменят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 xml:space="preserve">„(2) Националната агенция за приходите превежда вноските за допълнително задължително пенсионно осигуряване в срок до 30 дни от постъпването им от специализираната сметка по сметка на съответния пенсионен фонд, посочена от </w:t>
                  </w:r>
                  <w:proofErr w:type="spellStart"/>
                  <w:r w:rsidRPr="000316D3">
                    <w:rPr>
                      <w:rFonts w:ascii="Verdana" w:eastAsia="Times New Roman" w:hAnsi="Verdana" w:cs="Times New Roman"/>
                      <w:color w:val="000000"/>
                      <w:spacing w:val="1"/>
                      <w:sz w:val="17"/>
                      <w:szCs w:val="17"/>
                      <w:lang w:val="bg-BG"/>
                    </w:rPr>
                    <w:t>пенсионноосигурителното</w:t>
                  </w:r>
                  <w:proofErr w:type="spellEnd"/>
                  <w:r w:rsidRPr="000316D3">
                    <w:rPr>
                      <w:rFonts w:ascii="Verdana" w:eastAsia="Times New Roman" w:hAnsi="Verdana" w:cs="Times New Roman"/>
                      <w:color w:val="000000"/>
                      <w:spacing w:val="1"/>
                      <w:sz w:val="17"/>
                      <w:szCs w:val="17"/>
                      <w:lang w:val="bg-BG"/>
                    </w:rPr>
                    <w:t xml:space="preserve"> дружество, което го управлява. В същия срок по сметка на Националния осигурителен институт се превежда и </w:t>
                  </w:r>
                  <w:r w:rsidRPr="000316D3">
                    <w:rPr>
                      <w:rFonts w:ascii="Verdana" w:eastAsia="Times New Roman" w:hAnsi="Verdana" w:cs="Times New Roman"/>
                      <w:color w:val="000000"/>
                      <w:spacing w:val="1"/>
                      <w:sz w:val="17"/>
                      <w:szCs w:val="17"/>
                      <w:lang w:val="bg-BG"/>
                    </w:rPr>
                    <w:lastRenderedPageBreak/>
                    <w:t>увеличената осигурителна вноска за лицата по чл. 4б, ал. 1 и чл. 4в, ал. 1 от Кодекса за социално осигуряване.</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3"/>
                      <w:sz w:val="17"/>
                      <w:szCs w:val="17"/>
                      <w:lang w:val="bg-BG"/>
                    </w:rPr>
                    <w:t>(3) Редът за избор на осигуряване, внасяне, разпределяне на задължителните осигурителни вноски и обменът на информацията се уреждат с наредба, приета от Министерския съвет.“</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56.</w:t>
                  </w:r>
                  <w:r w:rsidRPr="000316D3">
                    <w:rPr>
                      <w:rFonts w:ascii="Verdana" w:eastAsia="Times New Roman" w:hAnsi="Verdana" w:cs="Times New Roman"/>
                      <w:color w:val="000000"/>
                      <w:spacing w:val="1"/>
                      <w:sz w:val="17"/>
                      <w:szCs w:val="17"/>
                      <w:lang w:val="bg-BG"/>
                    </w:rPr>
                    <w:t> В Закона за здравното осигуряване (обн., ДВ, бр. 70 от 1998 г.; изм., бр. 93 и 153 от 1998 г., бр. 62, 65, 67, 69, 110 и 113 от 1999 г., бр. 1 и 64 от 2000 г., бр. 41 от 2001 г., бр. 1, 54, 74, 107, 112, 119 и 120 от 2002 г., бр. 8, 50, 107 и 114 от 2003 г., бр. 28, 38, 49, 70, 85 и 111 от 2004 г., бр. 39, 45, 76, 99, 102, 103 и 105 от 2005 г., бр. 17, 18, 30, 33, 34, 59, 80, 95 и 105 от 2006 г., бр. 11 от 2007 г.; Решение № 3 на Конституционния съд от 2007 г. – бр. 26 от 2007 г.; изм., бр. 31, 46, 59, 97, 100 и 113 от 2007 г., бр. 37, 71 и 110 от 2008 г., бр. 35, 41, 42, 93, 99 и 101 от 2009 г., бр. 19, 26, 43, 49, 58, 59, 62, 96, 97, 98 и 100 от 2010 г., бр. 9, 60, 99 и 100 от 2011 г., бр. 38, 60, 94, 101 и 102 от 2012 г., бр. 4, 15, 20, 23 и 106 от 2013 г., бр. 1, 18, 35, 53, 54 и 107 от 2014 г. и бр. 12, 48 и 54 от 2015 г.) в чл. 40 се правят следните изменения: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В ал.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а) в т. 2 думите „чл. 6, ал. 8“ се заменят с „чл. 6, ал. 9“;</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б) в т. 6 думите „чл. 6, ал. 10“ се заменят с „чл. 6, ал. 11“.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В ал. 3 т. 9 се изменя така: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„9. родителите, осиновителите, съпрузите или един от родителите на майката или бащата, които полагат грижи за лице с увреждане със загубена работоспособност над 90 на сто, които постоянно се нуждаят от чужда помощ;“.</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57. </w:t>
                  </w:r>
                  <w:r w:rsidRPr="000316D3">
                    <w:rPr>
                      <w:rFonts w:ascii="Verdana" w:eastAsia="Times New Roman" w:hAnsi="Verdana" w:cs="Times New Roman"/>
                      <w:color w:val="000000"/>
                      <w:spacing w:val="-1"/>
                      <w:sz w:val="17"/>
                      <w:szCs w:val="17"/>
                      <w:lang w:val="bg-BG"/>
                    </w:rPr>
                    <w:t>В Закона за Министерството на вътрешните работи (обн., ДВ, бр. 53 от 2014 г.; изм., бр. 98 и 107 от 2014 г. и бр. 14, 24 и 56 от 2015 г.) в чл. 183, ал. 3 след думите „държавните служители“ се добавя „по чл. 142, ал. 1, т. 1“.</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58. </w:t>
                  </w:r>
                  <w:r w:rsidRPr="000316D3">
                    <w:rPr>
                      <w:rFonts w:ascii="Verdana" w:eastAsia="Times New Roman" w:hAnsi="Verdana" w:cs="Times New Roman"/>
                      <w:color w:val="000000"/>
                      <w:spacing w:val="1"/>
                      <w:sz w:val="17"/>
                      <w:szCs w:val="17"/>
                      <w:lang w:val="bg-BG"/>
                    </w:rPr>
                    <w:t>В Кодекса на труда (обн., ДВ,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бр. 1, 27 и 61 от 2014 г. и бр. 54 от 2015 г.) § 2а от допълнителните разпоредби се отменя.</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b/>
                      <w:bCs/>
                      <w:color w:val="000000"/>
                      <w:spacing w:val="1"/>
                      <w:sz w:val="17"/>
                      <w:szCs w:val="17"/>
                      <w:lang w:val="bg-BG"/>
                    </w:rPr>
                    <w:t>§ 59.</w:t>
                  </w:r>
                  <w:r w:rsidRPr="000316D3">
                    <w:rPr>
                      <w:rFonts w:ascii="Verdana" w:eastAsia="Times New Roman" w:hAnsi="Verdana" w:cs="Times New Roman"/>
                      <w:color w:val="000000"/>
                      <w:spacing w:val="1"/>
                      <w:sz w:val="17"/>
                      <w:szCs w:val="17"/>
                      <w:lang w:val="bg-BG"/>
                    </w:rPr>
                    <w:t> В 6-месечен срок от влизането в сила на този закон ръководителите на ведомствата, за чиито служители е приложим чл. 69, правят пред Министерския съвет мотивирано предложение за промени в нормативната уредба за диференциране на длъжностите по съответните закони съобразно характера и особените условия на труд с оглед ползване на права за ранно пенсиониране от лицата, които ги заемат.</w:t>
                  </w:r>
                </w:p>
                <w:p w:rsidR="00BB3022" w:rsidRPr="00291593" w:rsidRDefault="00BB3022" w:rsidP="00BB3022">
                  <w:pPr>
                    <w:spacing w:after="0" w:line="185" w:lineRule="atLeast"/>
                    <w:ind w:firstLine="283"/>
                    <w:jc w:val="both"/>
                    <w:textAlignment w:val="center"/>
                    <w:rPr>
                      <w:rFonts w:ascii="Times New Roman" w:eastAsia="Times New Roman" w:hAnsi="Times New Roman" w:cs="Times New Roman"/>
                      <w:color w:val="000000"/>
                      <w:sz w:val="28"/>
                      <w:szCs w:val="28"/>
                      <w:lang w:val="bg-BG"/>
                    </w:rPr>
                  </w:pPr>
                  <w:r w:rsidRPr="000316D3">
                    <w:rPr>
                      <w:rFonts w:ascii="Verdana" w:eastAsia="Times New Roman" w:hAnsi="Verdana" w:cs="Times New Roman"/>
                      <w:b/>
                      <w:bCs/>
                      <w:color w:val="000000"/>
                      <w:spacing w:val="1"/>
                      <w:sz w:val="17"/>
                      <w:szCs w:val="17"/>
                      <w:lang w:val="bg-BG"/>
                    </w:rPr>
                    <w:t>§ 60.</w:t>
                  </w:r>
                  <w:r w:rsidRPr="000316D3">
                    <w:rPr>
                      <w:rFonts w:ascii="Verdana" w:eastAsia="Times New Roman" w:hAnsi="Verdana" w:cs="Times New Roman"/>
                      <w:color w:val="000000"/>
                      <w:spacing w:val="1"/>
                      <w:sz w:val="17"/>
                      <w:szCs w:val="17"/>
                      <w:lang w:val="bg-BG"/>
                    </w:rPr>
                    <w:t> </w:t>
                  </w:r>
                  <w:r w:rsidRPr="00291593">
                    <w:rPr>
                      <w:rFonts w:ascii="Times New Roman" w:eastAsia="Times New Roman" w:hAnsi="Times New Roman" w:cs="Times New Roman"/>
                      <w:color w:val="000000"/>
                      <w:spacing w:val="1"/>
                      <w:sz w:val="28"/>
                      <w:szCs w:val="28"/>
                      <w:highlight w:val="yellow"/>
                      <w:lang w:val="bg-BG"/>
                    </w:rPr>
                    <w:t>Законът влиза в сила от 1 януари 2016 г. с изключение на:</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1. параграф 3 относно чл. 4а, ал. 3, т. 6, § 4, § 7 относно чл. 6, ал. 3, т. 10, § 8, т. 2 относно изменението в чл. 9, ал. 6, § 16, § 25, т. 5 – 9, § 31 – 36, § 47 – 51, § 54, § 55, § 56, т. 2 относно изменението в чл. 40, ал. 3, т. 9, които влизат в сила три дни след обнародването му в „Държавен вестник“;</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2. параграф 45, който влиза в сила 12 месеца след обнародването му в „Държавен вестник“;</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3. параг</w:t>
                  </w:r>
                  <w:bookmarkStart w:id="0" w:name="_GoBack"/>
                  <w:bookmarkEnd w:id="0"/>
                  <w:r w:rsidRPr="000316D3">
                    <w:rPr>
                      <w:rFonts w:ascii="Verdana" w:eastAsia="Times New Roman" w:hAnsi="Verdana" w:cs="Times New Roman"/>
                      <w:color w:val="000000"/>
                      <w:spacing w:val="1"/>
                      <w:sz w:val="17"/>
                      <w:szCs w:val="17"/>
                      <w:lang w:val="bg-BG"/>
                    </w:rPr>
                    <w:t>раф 57, който влиза в сила от 1 април 2015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4. параграф 58, който влиза в сила от 17 юли 2015 г.</w:t>
                  </w:r>
                </w:p>
                <w:p w:rsidR="00BB3022" w:rsidRPr="000316D3" w:rsidRDefault="00BB3022" w:rsidP="00BB3022">
                  <w:pPr>
                    <w:spacing w:after="0" w:line="185" w:lineRule="atLeast"/>
                    <w:ind w:firstLine="283"/>
                    <w:jc w:val="both"/>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Законът е приет от 43-то Народно събрание на 28 юли 2015 г. и е подпечатан с официалния печат на Народното събрание.</w:t>
                  </w:r>
                </w:p>
                <w:p w:rsidR="00BB3022" w:rsidRPr="000316D3" w:rsidRDefault="00BB3022" w:rsidP="00700BB9">
                  <w:pPr>
                    <w:spacing w:after="0" w:line="220" w:lineRule="atLeast"/>
                    <w:jc w:val="right"/>
                    <w:textAlignment w:val="center"/>
                    <w:rPr>
                      <w:rFonts w:ascii="Verdana" w:eastAsia="Times New Roman" w:hAnsi="Verdana" w:cs="Times New Roman"/>
                      <w:color w:val="000000"/>
                      <w:sz w:val="17"/>
                      <w:szCs w:val="17"/>
                      <w:lang w:val="bg-BG"/>
                    </w:rPr>
                  </w:pPr>
                  <w:r w:rsidRPr="000316D3">
                    <w:rPr>
                      <w:rFonts w:ascii="Verdana" w:eastAsia="Times New Roman" w:hAnsi="Verdana" w:cs="Times New Roman"/>
                      <w:color w:val="000000"/>
                      <w:spacing w:val="1"/>
                      <w:sz w:val="17"/>
                      <w:szCs w:val="17"/>
                      <w:lang w:val="bg-BG"/>
                    </w:rPr>
                    <w:t>Председател на Народното събрание: </w:t>
                  </w:r>
                  <w:r w:rsidRPr="000316D3">
                    <w:rPr>
                      <w:rFonts w:ascii="Verdana" w:eastAsia="Times New Roman" w:hAnsi="Verdana" w:cs="Times New Roman"/>
                      <w:b/>
                      <w:bCs/>
                      <w:color w:val="000000"/>
                      <w:spacing w:val="1"/>
                      <w:sz w:val="17"/>
                      <w:szCs w:val="17"/>
                      <w:lang w:val="bg-BG"/>
                    </w:rPr>
                    <w:t>Цецка Цачева</w:t>
                  </w:r>
                </w:p>
              </w:tc>
            </w:tr>
            <w:tr w:rsidR="00BB3022" w:rsidRPr="00700BB9" w:rsidTr="00291593">
              <w:trPr>
                <w:trHeight w:val="73"/>
                <w:tblCellSpacing w:w="7" w:type="dxa"/>
                <w:jc w:val="center"/>
              </w:trPr>
              <w:tc>
                <w:tcPr>
                  <w:tcW w:w="0" w:type="auto"/>
                  <w:vAlign w:val="center"/>
                  <w:hideMark/>
                </w:tcPr>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bl>
          <w:p w:rsidR="00BB3022" w:rsidRPr="000316D3" w:rsidRDefault="00BB3022" w:rsidP="00BB3022">
            <w:pPr>
              <w:spacing w:after="0" w:line="240" w:lineRule="auto"/>
              <w:rPr>
                <w:rFonts w:ascii="Verdana" w:eastAsia="Times New Roman" w:hAnsi="Verdana" w:cs="Times New Roman"/>
                <w:color w:val="000000"/>
                <w:sz w:val="15"/>
                <w:szCs w:val="15"/>
                <w:lang w:val="bg-BG"/>
              </w:rPr>
            </w:pPr>
          </w:p>
        </w:tc>
      </w:tr>
    </w:tbl>
    <w:p w:rsidR="0004141F" w:rsidRPr="000316D3" w:rsidRDefault="0004141F" w:rsidP="00700BB9">
      <w:pPr>
        <w:rPr>
          <w:lang w:val="bg-BG"/>
        </w:rPr>
      </w:pPr>
    </w:p>
    <w:sectPr w:rsidR="0004141F" w:rsidRPr="000316D3" w:rsidSect="00700BB9">
      <w:footerReference w:type="default" r:id="rId9"/>
      <w:pgSz w:w="12240" w:h="15840"/>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122" w:rsidRDefault="00CB3122" w:rsidP="006F598C">
      <w:pPr>
        <w:spacing w:after="0" w:line="240" w:lineRule="auto"/>
      </w:pPr>
      <w:r>
        <w:separator/>
      </w:r>
    </w:p>
  </w:endnote>
  <w:endnote w:type="continuationSeparator" w:id="0">
    <w:p w:rsidR="00CB3122" w:rsidRDefault="00CB3122" w:rsidP="006F5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6565477"/>
      <w:docPartObj>
        <w:docPartGallery w:val="Page Numbers (Bottom of Page)"/>
        <w:docPartUnique/>
      </w:docPartObj>
    </w:sdtPr>
    <w:sdtEndPr>
      <w:rPr>
        <w:noProof/>
      </w:rPr>
    </w:sdtEndPr>
    <w:sdtContent>
      <w:p w:rsidR="006F598C" w:rsidRDefault="006F598C">
        <w:pPr>
          <w:pStyle w:val="a5"/>
          <w:jc w:val="right"/>
        </w:pPr>
        <w:r>
          <w:fldChar w:fldCharType="begin"/>
        </w:r>
        <w:r>
          <w:instrText xml:space="preserve"> PAGE   \* MERGEFORMAT </w:instrText>
        </w:r>
        <w:r>
          <w:fldChar w:fldCharType="separate"/>
        </w:r>
        <w:r w:rsidR="00700BB9">
          <w:rPr>
            <w:noProof/>
          </w:rPr>
          <w:t>12</w:t>
        </w:r>
        <w:r>
          <w:rPr>
            <w:noProof/>
          </w:rPr>
          <w:fldChar w:fldCharType="end"/>
        </w:r>
      </w:p>
    </w:sdtContent>
  </w:sdt>
  <w:p w:rsidR="006F598C" w:rsidRDefault="006F598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122" w:rsidRDefault="00CB3122" w:rsidP="006F598C">
      <w:pPr>
        <w:spacing w:after="0" w:line="240" w:lineRule="auto"/>
      </w:pPr>
      <w:r>
        <w:separator/>
      </w:r>
    </w:p>
  </w:footnote>
  <w:footnote w:type="continuationSeparator" w:id="0">
    <w:p w:rsidR="00CB3122" w:rsidRDefault="00CB3122" w:rsidP="006F59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E90"/>
    <w:rsid w:val="000316D3"/>
    <w:rsid w:val="0004141F"/>
    <w:rsid w:val="002175CF"/>
    <w:rsid w:val="00291593"/>
    <w:rsid w:val="00387214"/>
    <w:rsid w:val="00544C9C"/>
    <w:rsid w:val="006F598C"/>
    <w:rsid w:val="00700BB9"/>
    <w:rsid w:val="00915D67"/>
    <w:rsid w:val="00A33E90"/>
    <w:rsid w:val="00BB3022"/>
    <w:rsid w:val="00CB3122"/>
    <w:rsid w:val="00D400C2"/>
    <w:rsid w:val="00D84DCD"/>
    <w:rsid w:val="00E42669"/>
    <w:rsid w:val="00F41F71"/>
    <w:rsid w:val="00FB3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98C"/>
    <w:pPr>
      <w:tabs>
        <w:tab w:val="center" w:pos="4703"/>
        <w:tab w:val="right" w:pos="9406"/>
      </w:tabs>
      <w:spacing w:after="0" w:line="240" w:lineRule="auto"/>
    </w:pPr>
  </w:style>
  <w:style w:type="character" w:customStyle="1" w:styleId="a4">
    <w:name w:val="Горен колонтитул Знак"/>
    <w:basedOn w:val="a0"/>
    <w:link w:val="a3"/>
    <w:uiPriority w:val="99"/>
    <w:rsid w:val="006F598C"/>
  </w:style>
  <w:style w:type="paragraph" w:styleId="a5">
    <w:name w:val="footer"/>
    <w:basedOn w:val="a"/>
    <w:link w:val="a6"/>
    <w:uiPriority w:val="99"/>
    <w:unhideWhenUsed/>
    <w:rsid w:val="006F598C"/>
    <w:pPr>
      <w:tabs>
        <w:tab w:val="center" w:pos="4703"/>
        <w:tab w:val="right" w:pos="9406"/>
      </w:tabs>
      <w:spacing w:after="0" w:line="240" w:lineRule="auto"/>
    </w:pPr>
  </w:style>
  <w:style w:type="character" w:customStyle="1" w:styleId="a6">
    <w:name w:val="Долен колонтитул Знак"/>
    <w:basedOn w:val="a0"/>
    <w:link w:val="a5"/>
    <w:uiPriority w:val="99"/>
    <w:rsid w:val="006F598C"/>
  </w:style>
  <w:style w:type="paragraph" w:styleId="a7">
    <w:name w:val="Balloon Text"/>
    <w:basedOn w:val="a"/>
    <w:link w:val="a8"/>
    <w:uiPriority w:val="99"/>
    <w:semiHidden/>
    <w:unhideWhenUsed/>
    <w:rsid w:val="002175CF"/>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175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98C"/>
    <w:pPr>
      <w:tabs>
        <w:tab w:val="center" w:pos="4703"/>
        <w:tab w:val="right" w:pos="9406"/>
      </w:tabs>
      <w:spacing w:after="0" w:line="240" w:lineRule="auto"/>
    </w:pPr>
  </w:style>
  <w:style w:type="character" w:customStyle="1" w:styleId="a4">
    <w:name w:val="Горен колонтитул Знак"/>
    <w:basedOn w:val="a0"/>
    <w:link w:val="a3"/>
    <w:uiPriority w:val="99"/>
    <w:rsid w:val="006F598C"/>
  </w:style>
  <w:style w:type="paragraph" w:styleId="a5">
    <w:name w:val="footer"/>
    <w:basedOn w:val="a"/>
    <w:link w:val="a6"/>
    <w:uiPriority w:val="99"/>
    <w:unhideWhenUsed/>
    <w:rsid w:val="006F598C"/>
    <w:pPr>
      <w:tabs>
        <w:tab w:val="center" w:pos="4703"/>
        <w:tab w:val="right" w:pos="9406"/>
      </w:tabs>
      <w:spacing w:after="0" w:line="240" w:lineRule="auto"/>
    </w:pPr>
  </w:style>
  <w:style w:type="character" w:customStyle="1" w:styleId="a6">
    <w:name w:val="Долен колонтитул Знак"/>
    <w:basedOn w:val="a0"/>
    <w:link w:val="a5"/>
    <w:uiPriority w:val="99"/>
    <w:rsid w:val="006F598C"/>
  </w:style>
  <w:style w:type="paragraph" w:styleId="a7">
    <w:name w:val="Balloon Text"/>
    <w:basedOn w:val="a"/>
    <w:link w:val="a8"/>
    <w:uiPriority w:val="99"/>
    <w:semiHidden/>
    <w:unhideWhenUsed/>
    <w:rsid w:val="002175CF"/>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175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36575">
      <w:bodyDiv w:val="1"/>
      <w:marLeft w:val="0"/>
      <w:marRight w:val="0"/>
      <w:marTop w:val="0"/>
      <w:marBottom w:val="0"/>
      <w:divBdr>
        <w:top w:val="none" w:sz="0" w:space="0" w:color="auto"/>
        <w:left w:val="none" w:sz="0" w:space="0" w:color="auto"/>
        <w:bottom w:val="none" w:sz="0" w:space="0" w:color="auto"/>
        <w:right w:val="none" w:sz="0" w:space="0" w:color="auto"/>
      </w:divBdr>
      <w:divsChild>
        <w:div w:id="1902323291">
          <w:marLeft w:val="0"/>
          <w:marRight w:val="0"/>
          <w:marTop w:val="0"/>
          <w:marBottom w:val="0"/>
          <w:divBdr>
            <w:top w:val="none" w:sz="0" w:space="0" w:color="auto"/>
            <w:left w:val="none" w:sz="0" w:space="0" w:color="auto"/>
            <w:bottom w:val="none" w:sz="0" w:space="0" w:color="auto"/>
            <w:right w:val="none" w:sz="0" w:space="0" w:color="auto"/>
          </w:divBdr>
          <w:divsChild>
            <w:div w:id="295642619">
              <w:marLeft w:val="0"/>
              <w:marRight w:val="0"/>
              <w:marTop w:val="0"/>
              <w:marBottom w:val="0"/>
              <w:divBdr>
                <w:top w:val="none" w:sz="0" w:space="0" w:color="auto"/>
                <w:left w:val="none" w:sz="0" w:space="0" w:color="auto"/>
                <w:bottom w:val="none" w:sz="0" w:space="0" w:color="auto"/>
                <w:right w:val="none" w:sz="0" w:space="0" w:color="auto"/>
              </w:divBdr>
            </w:div>
          </w:divsChild>
        </w:div>
        <w:div w:id="1859735849">
          <w:marLeft w:val="0"/>
          <w:marRight w:val="0"/>
          <w:marTop w:val="0"/>
          <w:marBottom w:val="0"/>
          <w:divBdr>
            <w:top w:val="none" w:sz="0" w:space="0" w:color="auto"/>
            <w:left w:val="none" w:sz="0" w:space="0" w:color="auto"/>
            <w:bottom w:val="single" w:sz="6" w:space="0" w:color="CCCCCC"/>
            <w:right w:val="none" w:sz="0" w:space="0" w:color="auto"/>
          </w:divBdr>
          <w:divsChild>
            <w:div w:id="373233044">
              <w:marLeft w:val="30"/>
              <w:marRight w:val="0"/>
              <w:marTop w:val="0"/>
              <w:marBottom w:val="0"/>
              <w:divBdr>
                <w:top w:val="none" w:sz="0" w:space="0" w:color="auto"/>
                <w:left w:val="none" w:sz="0" w:space="0" w:color="auto"/>
                <w:bottom w:val="none" w:sz="0" w:space="0" w:color="auto"/>
                <w:right w:val="none" w:sz="0" w:space="0" w:color="auto"/>
              </w:divBdr>
            </w:div>
          </w:divsChild>
        </w:div>
        <w:div w:id="1788281707">
          <w:marLeft w:val="0"/>
          <w:marRight w:val="0"/>
          <w:marTop w:val="0"/>
          <w:marBottom w:val="0"/>
          <w:divBdr>
            <w:top w:val="none" w:sz="0" w:space="0" w:color="auto"/>
            <w:left w:val="none" w:sz="0" w:space="0" w:color="auto"/>
            <w:bottom w:val="none" w:sz="0" w:space="0" w:color="auto"/>
            <w:right w:val="none" w:sz="0" w:space="0" w:color="auto"/>
          </w:divBdr>
          <w:divsChild>
            <w:div w:id="1430156193">
              <w:marLeft w:val="0"/>
              <w:marRight w:val="0"/>
              <w:marTop w:val="113"/>
              <w:marBottom w:val="0"/>
              <w:divBdr>
                <w:top w:val="none" w:sz="0" w:space="0" w:color="auto"/>
                <w:left w:val="none" w:sz="0" w:space="0" w:color="auto"/>
                <w:bottom w:val="none" w:sz="0" w:space="0" w:color="auto"/>
                <w:right w:val="none" w:sz="0" w:space="0" w:color="auto"/>
              </w:divBdr>
            </w:div>
            <w:div w:id="207648830">
              <w:marLeft w:val="0"/>
              <w:marRight w:val="0"/>
              <w:marTop w:val="113"/>
              <w:marBottom w:val="113"/>
              <w:divBdr>
                <w:top w:val="none" w:sz="0" w:space="0" w:color="auto"/>
                <w:left w:val="none" w:sz="0" w:space="0" w:color="auto"/>
                <w:bottom w:val="none" w:sz="0" w:space="0" w:color="auto"/>
                <w:right w:val="none" w:sz="0" w:space="0" w:color="auto"/>
              </w:divBdr>
            </w:div>
            <w:div w:id="2897104">
              <w:marLeft w:val="0"/>
              <w:marRight w:val="0"/>
              <w:marTop w:val="113"/>
              <w:marBottom w:val="57"/>
              <w:divBdr>
                <w:top w:val="none" w:sz="0" w:space="0" w:color="auto"/>
                <w:left w:val="none" w:sz="0" w:space="0" w:color="auto"/>
                <w:bottom w:val="none" w:sz="0" w:space="0" w:color="auto"/>
                <w:right w:val="none" w:sz="0" w:space="0" w:color="auto"/>
              </w:divBdr>
            </w:div>
            <w:div w:id="954023222">
              <w:marLeft w:val="0"/>
              <w:marRight w:val="0"/>
              <w:marTop w:val="57"/>
              <w:marBottom w:val="0"/>
              <w:divBdr>
                <w:top w:val="none" w:sz="0" w:space="0" w:color="auto"/>
                <w:left w:val="none" w:sz="0" w:space="0" w:color="auto"/>
                <w:bottom w:val="none" w:sz="0" w:space="0" w:color="auto"/>
                <w:right w:val="none" w:sz="0" w:space="0" w:color="auto"/>
              </w:divBdr>
            </w:div>
          </w:divsChild>
        </w:div>
      </w:divsChild>
    </w:div>
    <w:div w:id="934022710">
      <w:bodyDiv w:val="1"/>
      <w:marLeft w:val="0"/>
      <w:marRight w:val="0"/>
      <w:marTop w:val="0"/>
      <w:marBottom w:val="0"/>
      <w:divBdr>
        <w:top w:val="none" w:sz="0" w:space="0" w:color="auto"/>
        <w:left w:val="none" w:sz="0" w:space="0" w:color="auto"/>
        <w:bottom w:val="none" w:sz="0" w:space="0" w:color="auto"/>
        <w:right w:val="none" w:sz="0" w:space="0" w:color="auto"/>
      </w:divBdr>
      <w:divsChild>
        <w:div w:id="1916011215">
          <w:marLeft w:val="0"/>
          <w:marRight w:val="0"/>
          <w:marTop w:val="0"/>
          <w:marBottom w:val="0"/>
          <w:divBdr>
            <w:top w:val="none" w:sz="0" w:space="0" w:color="auto"/>
            <w:left w:val="none" w:sz="0" w:space="0" w:color="auto"/>
            <w:bottom w:val="none" w:sz="0" w:space="0" w:color="auto"/>
            <w:right w:val="none" w:sz="0" w:space="0" w:color="auto"/>
          </w:divBdr>
          <w:divsChild>
            <w:div w:id="1112941290">
              <w:marLeft w:val="0"/>
              <w:marRight w:val="0"/>
              <w:marTop w:val="0"/>
              <w:marBottom w:val="0"/>
              <w:divBdr>
                <w:top w:val="none" w:sz="0" w:space="0" w:color="auto"/>
                <w:left w:val="none" w:sz="0" w:space="0" w:color="auto"/>
                <w:bottom w:val="none" w:sz="0" w:space="0" w:color="auto"/>
                <w:right w:val="none" w:sz="0" w:space="0" w:color="auto"/>
              </w:divBdr>
            </w:div>
          </w:divsChild>
        </w:div>
        <w:div w:id="1225143096">
          <w:marLeft w:val="0"/>
          <w:marRight w:val="0"/>
          <w:marTop w:val="0"/>
          <w:marBottom w:val="0"/>
          <w:divBdr>
            <w:top w:val="none" w:sz="0" w:space="0" w:color="auto"/>
            <w:left w:val="none" w:sz="0" w:space="0" w:color="auto"/>
            <w:bottom w:val="single" w:sz="6" w:space="0" w:color="CCCCCC"/>
            <w:right w:val="none" w:sz="0" w:space="0" w:color="auto"/>
          </w:divBdr>
          <w:divsChild>
            <w:div w:id="1354915648">
              <w:marLeft w:val="30"/>
              <w:marRight w:val="0"/>
              <w:marTop w:val="0"/>
              <w:marBottom w:val="0"/>
              <w:divBdr>
                <w:top w:val="none" w:sz="0" w:space="0" w:color="auto"/>
                <w:left w:val="none" w:sz="0" w:space="0" w:color="auto"/>
                <w:bottom w:val="none" w:sz="0" w:space="0" w:color="auto"/>
                <w:right w:val="none" w:sz="0" w:space="0" w:color="auto"/>
              </w:divBdr>
            </w:div>
          </w:divsChild>
        </w:div>
        <w:div w:id="2019850333">
          <w:marLeft w:val="0"/>
          <w:marRight w:val="0"/>
          <w:marTop w:val="0"/>
          <w:marBottom w:val="0"/>
          <w:divBdr>
            <w:top w:val="none" w:sz="0" w:space="0" w:color="auto"/>
            <w:left w:val="none" w:sz="0" w:space="0" w:color="auto"/>
            <w:bottom w:val="none" w:sz="0" w:space="0" w:color="auto"/>
            <w:right w:val="none" w:sz="0" w:space="0" w:color="auto"/>
          </w:divBdr>
          <w:divsChild>
            <w:div w:id="1044257877">
              <w:marLeft w:val="0"/>
              <w:marRight w:val="0"/>
              <w:marTop w:val="113"/>
              <w:marBottom w:val="0"/>
              <w:divBdr>
                <w:top w:val="none" w:sz="0" w:space="0" w:color="auto"/>
                <w:left w:val="none" w:sz="0" w:space="0" w:color="auto"/>
                <w:bottom w:val="none" w:sz="0" w:space="0" w:color="auto"/>
                <w:right w:val="none" w:sz="0" w:space="0" w:color="auto"/>
              </w:divBdr>
            </w:div>
            <w:div w:id="2012367617">
              <w:marLeft w:val="0"/>
              <w:marRight w:val="0"/>
              <w:marTop w:val="57"/>
              <w:marBottom w:val="0"/>
              <w:divBdr>
                <w:top w:val="none" w:sz="0" w:space="0" w:color="auto"/>
                <w:left w:val="none" w:sz="0" w:space="0" w:color="auto"/>
                <w:bottom w:val="none" w:sz="0" w:space="0" w:color="auto"/>
                <w:right w:val="none" w:sz="0" w:space="0" w:color="auto"/>
              </w:divBdr>
            </w:div>
            <w:div w:id="254825654">
              <w:marLeft w:val="0"/>
              <w:marRight w:val="0"/>
              <w:marTop w:val="113"/>
              <w:marBottom w:val="57"/>
              <w:divBdr>
                <w:top w:val="none" w:sz="0" w:space="0" w:color="auto"/>
                <w:left w:val="none" w:sz="0" w:space="0" w:color="auto"/>
                <w:bottom w:val="none" w:sz="0" w:space="0" w:color="auto"/>
                <w:right w:val="none" w:sz="0" w:space="0" w:color="auto"/>
              </w:divBdr>
            </w:div>
            <w:div w:id="1821926432">
              <w:marLeft w:val="0"/>
              <w:marRight w:val="0"/>
              <w:marTop w:val="57"/>
              <w:marBottom w:val="0"/>
              <w:divBdr>
                <w:top w:val="none" w:sz="0" w:space="0" w:color="auto"/>
                <w:left w:val="none" w:sz="0" w:space="0" w:color="auto"/>
                <w:bottom w:val="none" w:sz="0" w:space="0" w:color="auto"/>
                <w:right w:val="none" w:sz="0" w:space="0" w:color="auto"/>
              </w:divBdr>
            </w:div>
            <w:div w:id="1211528141">
              <w:marLeft w:val="0"/>
              <w:marRight w:val="0"/>
              <w:marTop w:val="57"/>
              <w:marBottom w:val="0"/>
              <w:divBdr>
                <w:top w:val="none" w:sz="0" w:space="0" w:color="auto"/>
                <w:left w:val="none" w:sz="0" w:space="0" w:color="auto"/>
                <w:bottom w:val="none" w:sz="0" w:space="0" w:color="auto"/>
                <w:right w:val="none" w:sz="0" w:space="0" w:color="auto"/>
              </w:divBdr>
            </w:div>
            <w:div w:id="707726770">
              <w:marLeft w:val="0"/>
              <w:marRight w:val="0"/>
              <w:marTop w:val="57"/>
              <w:marBottom w:val="0"/>
              <w:divBdr>
                <w:top w:val="none" w:sz="0" w:space="0" w:color="auto"/>
                <w:left w:val="none" w:sz="0" w:space="0" w:color="auto"/>
                <w:bottom w:val="none" w:sz="0" w:space="0" w:color="auto"/>
                <w:right w:val="none" w:sz="0" w:space="0" w:color="auto"/>
              </w:divBdr>
            </w:div>
            <w:div w:id="1939096286">
              <w:marLeft w:val="0"/>
              <w:marRight w:val="0"/>
              <w:marTop w:val="28"/>
              <w:marBottom w:val="0"/>
              <w:divBdr>
                <w:top w:val="none" w:sz="0" w:space="0" w:color="auto"/>
                <w:left w:val="none" w:sz="0" w:space="0" w:color="auto"/>
                <w:bottom w:val="none" w:sz="0" w:space="0" w:color="auto"/>
                <w:right w:val="none" w:sz="0" w:space="0" w:color="auto"/>
              </w:divBdr>
            </w:div>
            <w:div w:id="1642081053">
              <w:marLeft w:val="0"/>
              <w:marRight w:val="0"/>
              <w:marTop w:val="113"/>
              <w:marBottom w:val="0"/>
              <w:divBdr>
                <w:top w:val="none" w:sz="0" w:space="0" w:color="auto"/>
                <w:left w:val="none" w:sz="0" w:space="0" w:color="auto"/>
                <w:bottom w:val="none" w:sz="0" w:space="0" w:color="auto"/>
                <w:right w:val="none" w:sz="0" w:space="0" w:color="auto"/>
              </w:divBdr>
            </w:div>
            <w:div w:id="407922887">
              <w:marLeft w:val="0"/>
              <w:marRight w:val="0"/>
              <w:marTop w:val="0"/>
              <w:marBottom w:val="113"/>
              <w:divBdr>
                <w:top w:val="none" w:sz="0" w:space="0" w:color="auto"/>
                <w:left w:val="none" w:sz="0" w:space="0" w:color="auto"/>
                <w:bottom w:val="none" w:sz="0" w:space="0" w:color="auto"/>
                <w:right w:val="none" w:sz="0" w:space="0" w:color="auto"/>
              </w:divBdr>
            </w:div>
            <w:div w:id="858934356">
              <w:marLeft w:val="0"/>
              <w:marRight w:val="0"/>
              <w:marTop w:val="85"/>
              <w:marBottom w:val="28"/>
              <w:divBdr>
                <w:top w:val="none" w:sz="0" w:space="0" w:color="auto"/>
                <w:left w:val="none" w:sz="0" w:space="0" w:color="auto"/>
                <w:bottom w:val="none" w:sz="0" w:space="0" w:color="auto"/>
                <w:right w:val="none" w:sz="0" w:space="0" w:color="auto"/>
              </w:divBdr>
            </w:div>
            <w:div w:id="1575164892">
              <w:marLeft w:val="0"/>
              <w:marRight w:val="0"/>
              <w:marTop w:val="85"/>
              <w:marBottom w:val="28"/>
              <w:divBdr>
                <w:top w:val="none" w:sz="0" w:space="0" w:color="auto"/>
                <w:left w:val="none" w:sz="0" w:space="0" w:color="auto"/>
                <w:bottom w:val="none" w:sz="0" w:space="0" w:color="auto"/>
                <w:right w:val="none" w:sz="0" w:space="0" w:color="auto"/>
              </w:divBdr>
            </w:div>
            <w:div w:id="1221791056">
              <w:marLeft w:val="0"/>
              <w:marRight w:val="0"/>
              <w:marTop w:val="85"/>
              <w:marBottom w:val="28"/>
              <w:divBdr>
                <w:top w:val="none" w:sz="0" w:space="0" w:color="auto"/>
                <w:left w:val="none" w:sz="0" w:space="0" w:color="auto"/>
                <w:bottom w:val="none" w:sz="0" w:space="0" w:color="auto"/>
                <w:right w:val="none" w:sz="0" w:space="0" w:color="auto"/>
              </w:divBdr>
            </w:div>
            <w:div w:id="1109007636">
              <w:marLeft w:val="0"/>
              <w:marRight w:val="0"/>
              <w:marTop w:val="85"/>
              <w:marBottom w:val="28"/>
              <w:divBdr>
                <w:top w:val="none" w:sz="0" w:space="0" w:color="auto"/>
                <w:left w:val="none" w:sz="0" w:space="0" w:color="auto"/>
                <w:bottom w:val="none" w:sz="0" w:space="0" w:color="auto"/>
                <w:right w:val="none" w:sz="0" w:space="0" w:color="auto"/>
              </w:divBdr>
            </w:div>
            <w:div w:id="468287051">
              <w:marLeft w:val="0"/>
              <w:marRight w:val="0"/>
              <w:marTop w:val="85"/>
              <w:marBottom w:val="28"/>
              <w:divBdr>
                <w:top w:val="none" w:sz="0" w:space="0" w:color="auto"/>
                <w:left w:val="none" w:sz="0" w:space="0" w:color="auto"/>
                <w:bottom w:val="none" w:sz="0" w:space="0" w:color="auto"/>
                <w:right w:val="none" w:sz="0" w:space="0" w:color="auto"/>
              </w:divBdr>
            </w:div>
            <w:div w:id="977034980">
              <w:marLeft w:val="0"/>
              <w:marRight w:val="0"/>
              <w:marTop w:val="85"/>
              <w:marBottom w:val="28"/>
              <w:divBdr>
                <w:top w:val="none" w:sz="0" w:space="0" w:color="auto"/>
                <w:left w:val="none" w:sz="0" w:space="0" w:color="auto"/>
                <w:bottom w:val="none" w:sz="0" w:space="0" w:color="auto"/>
                <w:right w:val="none" w:sz="0" w:space="0" w:color="auto"/>
              </w:divBdr>
            </w:div>
            <w:div w:id="1940602536">
              <w:marLeft w:val="0"/>
              <w:marRight w:val="0"/>
              <w:marTop w:val="85"/>
              <w:marBottom w:val="28"/>
              <w:divBdr>
                <w:top w:val="none" w:sz="0" w:space="0" w:color="auto"/>
                <w:left w:val="none" w:sz="0" w:space="0" w:color="auto"/>
                <w:bottom w:val="none" w:sz="0" w:space="0" w:color="auto"/>
                <w:right w:val="none" w:sz="0" w:space="0" w:color="auto"/>
              </w:divBdr>
            </w:div>
            <w:div w:id="1073091210">
              <w:marLeft w:val="0"/>
              <w:marRight w:val="0"/>
              <w:marTop w:val="85"/>
              <w:marBottom w:val="28"/>
              <w:divBdr>
                <w:top w:val="none" w:sz="0" w:space="0" w:color="auto"/>
                <w:left w:val="none" w:sz="0" w:space="0" w:color="auto"/>
                <w:bottom w:val="none" w:sz="0" w:space="0" w:color="auto"/>
                <w:right w:val="none" w:sz="0" w:space="0" w:color="auto"/>
              </w:divBdr>
            </w:div>
            <w:div w:id="1141969115">
              <w:marLeft w:val="0"/>
              <w:marRight w:val="0"/>
              <w:marTop w:val="85"/>
              <w:marBottom w:val="28"/>
              <w:divBdr>
                <w:top w:val="none" w:sz="0" w:space="0" w:color="auto"/>
                <w:left w:val="none" w:sz="0" w:space="0" w:color="auto"/>
                <w:bottom w:val="none" w:sz="0" w:space="0" w:color="auto"/>
                <w:right w:val="none" w:sz="0" w:space="0" w:color="auto"/>
              </w:divBdr>
            </w:div>
            <w:div w:id="728530740">
              <w:marLeft w:val="0"/>
              <w:marRight w:val="0"/>
              <w:marTop w:val="85"/>
              <w:marBottom w:val="28"/>
              <w:divBdr>
                <w:top w:val="none" w:sz="0" w:space="0" w:color="auto"/>
                <w:left w:val="none" w:sz="0" w:space="0" w:color="auto"/>
                <w:bottom w:val="none" w:sz="0" w:space="0" w:color="auto"/>
                <w:right w:val="none" w:sz="0" w:space="0" w:color="auto"/>
              </w:divBdr>
            </w:div>
            <w:div w:id="475755980">
              <w:marLeft w:val="0"/>
              <w:marRight w:val="0"/>
              <w:marTop w:val="85"/>
              <w:marBottom w:val="28"/>
              <w:divBdr>
                <w:top w:val="none" w:sz="0" w:space="0" w:color="auto"/>
                <w:left w:val="none" w:sz="0" w:space="0" w:color="auto"/>
                <w:bottom w:val="none" w:sz="0" w:space="0" w:color="auto"/>
                <w:right w:val="none" w:sz="0" w:space="0" w:color="auto"/>
              </w:divBdr>
            </w:div>
            <w:div w:id="864905067">
              <w:marLeft w:val="0"/>
              <w:marRight w:val="0"/>
              <w:marTop w:val="85"/>
              <w:marBottom w:val="28"/>
              <w:divBdr>
                <w:top w:val="none" w:sz="0" w:space="0" w:color="auto"/>
                <w:left w:val="none" w:sz="0" w:space="0" w:color="auto"/>
                <w:bottom w:val="none" w:sz="0" w:space="0" w:color="auto"/>
                <w:right w:val="none" w:sz="0" w:space="0" w:color="auto"/>
              </w:divBdr>
            </w:div>
            <w:div w:id="564488802">
              <w:marLeft w:val="0"/>
              <w:marRight w:val="0"/>
              <w:marTop w:val="85"/>
              <w:marBottom w:val="28"/>
              <w:divBdr>
                <w:top w:val="none" w:sz="0" w:space="0" w:color="auto"/>
                <w:left w:val="none" w:sz="0" w:space="0" w:color="auto"/>
                <w:bottom w:val="none" w:sz="0" w:space="0" w:color="auto"/>
                <w:right w:val="none" w:sz="0" w:space="0" w:color="auto"/>
              </w:divBdr>
            </w:div>
            <w:div w:id="1250577287">
              <w:marLeft w:val="0"/>
              <w:marRight w:val="0"/>
              <w:marTop w:val="85"/>
              <w:marBottom w:val="28"/>
              <w:divBdr>
                <w:top w:val="none" w:sz="0" w:space="0" w:color="auto"/>
                <w:left w:val="none" w:sz="0" w:space="0" w:color="auto"/>
                <w:bottom w:val="none" w:sz="0" w:space="0" w:color="auto"/>
                <w:right w:val="none" w:sz="0" w:space="0" w:color="auto"/>
              </w:divBdr>
            </w:div>
            <w:div w:id="222719291">
              <w:marLeft w:val="0"/>
              <w:marRight w:val="0"/>
              <w:marTop w:val="85"/>
              <w:marBottom w:val="28"/>
              <w:divBdr>
                <w:top w:val="none" w:sz="0" w:space="0" w:color="auto"/>
                <w:left w:val="none" w:sz="0" w:space="0" w:color="auto"/>
                <w:bottom w:val="none" w:sz="0" w:space="0" w:color="auto"/>
                <w:right w:val="none" w:sz="0" w:space="0" w:color="auto"/>
              </w:divBdr>
            </w:div>
            <w:div w:id="470640067">
              <w:marLeft w:val="0"/>
              <w:marRight w:val="0"/>
              <w:marTop w:val="85"/>
              <w:marBottom w:val="28"/>
              <w:divBdr>
                <w:top w:val="none" w:sz="0" w:space="0" w:color="auto"/>
                <w:left w:val="none" w:sz="0" w:space="0" w:color="auto"/>
                <w:bottom w:val="none" w:sz="0" w:space="0" w:color="auto"/>
                <w:right w:val="none" w:sz="0" w:space="0" w:color="auto"/>
              </w:divBdr>
            </w:div>
            <w:div w:id="122386744">
              <w:marLeft w:val="0"/>
              <w:marRight w:val="0"/>
              <w:marTop w:val="113"/>
              <w:marBottom w:val="57"/>
              <w:divBdr>
                <w:top w:val="none" w:sz="0" w:space="0" w:color="auto"/>
                <w:left w:val="none" w:sz="0" w:space="0" w:color="auto"/>
                <w:bottom w:val="none" w:sz="0" w:space="0" w:color="auto"/>
                <w:right w:val="none" w:sz="0" w:space="0" w:color="auto"/>
              </w:divBdr>
            </w:div>
            <w:div w:id="2122912721">
              <w:marLeft w:val="0"/>
              <w:marRight w:val="0"/>
              <w:marTop w:val="57"/>
              <w:marBottom w:val="0"/>
              <w:divBdr>
                <w:top w:val="none" w:sz="0" w:space="0" w:color="auto"/>
                <w:left w:val="none" w:sz="0" w:space="0" w:color="auto"/>
                <w:bottom w:val="none" w:sz="0" w:space="0" w:color="auto"/>
                <w:right w:val="none" w:sz="0" w:space="0" w:color="auto"/>
              </w:divBdr>
            </w:div>
            <w:div w:id="1324966014">
              <w:marLeft w:val="0"/>
              <w:marRight w:val="0"/>
              <w:marTop w:val="57"/>
              <w:marBottom w:val="0"/>
              <w:divBdr>
                <w:top w:val="none" w:sz="0" w:space="0" w:color="auto"/>
                <w:left w:val="none" w:sz="0" w:space="0" w:color="auto"/>
                <w:bottom w:val="none" w:sz="0" w:space="0" w:color="auto"/>
                <w:right w:val="none" w:sz="0" w:space="0" w:color="auto"/>
              </w:divBdr>
            </w:div>
          </w:divsChild>
        </w:div>
      </w:divsChild>
    </w:div>
    <w:div w:id="1837649682">
      <w:bodyDiv w:val="1"/>
      <w:marLeft w:val="0"/>
      <w:marRight w:val="0"/>
      <w:marTop w:val="0"/>
      <w:marBottom w:val="0"/>
      <w:divBdr>
        <w:top w:val="none" w:sz="0" w:space="0" w:color="auto"/>
        <w:left w:val="none" w:sz="0" w:space="0" w:color="auto"/>
        <w:bottom w:val="none" w:sz="0" w:space="0" w:color="auto"/>
        <w:right w:val="none" w:sz="0" w:space="0" w:color="auto"/>
      </w:divBdr>
      <w:divsChild>
        <w:div w:id="891967388">
          <w:marLeft w:val="0"/>
          <w:marRight w:val="0"/>
          <w:marTop w:val="0"/>
          <w:marBottom w:val="0"/>
          <w:divBdr>
            <w:top w:val="none" w:sz="0" w:space="0" w:color="auto"/>
            <w:left w:val="none" w:sz="0" w:space="0" w:color="auto"/>
            <w:bottom w:val="none" w:sz="0" w:space="0" w:color="auto"/>
            <w:right w:val="none" w:sz="0" w:space="0" w:color="auto"/>
          </w:divBdr>
          <w:divsChild>
            <w:div w:id="1372338261">
              <w:marLeft w:val="0"/>
              <w:marRight w:val="0"/>
              <w:marTop w:val="0"/>
              <w:marBottom w:val="0"/>
              <w:divBdr>
                <w:top w:val="none" w:sz="0" w:space="0" w:color="auto"/>
                <w:left w:val="none" w:sz="0" w:space="0" w:color="auto"/>
                <w:bottom w:val="none" w:sz="0" w:space="0" w:color="auto"/>
                <w:right w:val="none" w:sz="0" w:space="0" w:color="auto"/>
              </w:divBdr>
            </w:div>
          </w:divsChild>
        </w:div>
        <w:div w:id="1906648767">
          <w:marLeft w:val="0"/>
          <w:marRight w:val="0"/>
          <w:marTop w:val="0"/>
          <w:marBottom w:val="0"/>
          <w:divBdr>
            <w:top w:val="none" w:sz="0" w:space="0" w:color="auto"/>
            <w:left w:val="none" w:sz="0" w:space="0" w:color="auto"/>
            <w:bottom w:val="single" w:sz="6" w:space="0" w:color="CCCCCC"/>
            <w:right w:val="none" w:sz="0" w:space="0" w:color="auto"/>
          </w:divBdr>
          <w:divsChild>
            <w:div w:id="729352833">
              <w:marLeft w:val="30"/>
              <w:marRight w:val="0"/>
              <w:marTop w:val="0"/>
              <w:marBottom w:val="0"/>
              <w:divBdr>
                <w:top w:val="none" w:sz="0" w:space="0" w:color="auto"/>
                <w:left w:val="none" w:sz="0" w:space="0" w:color="auto"/>
                <w:bottom w:val="none" w:sz="0" w:space="0" w:color="auto"/>
                <w:right w:val="none" w:sz="0" w:space="0" w:color="auto"/>
              </w:divBdr>
            </w:div>
          </w:divsChild>
        </w:div>
        <w:div w:id="261568033">
          <w:marLeft w:val="0"/>
          <w:marRight w:val="0"/>
          <w:marTop w:val="0"/>
          <w:marBottom w:val="0"/>
          <w:divBdr>
            <w:top w:val="none" w:sz="0" w:space="0" w:color="auto"/>
            <w:left w:val="none" w:sz="0" w:space="0" w:color="auto"/>
            <w:bottom w:val="none" w:sz="0" w:space="0" w:color="auto"/>
            <w:right w:val="none" w:sz="0" w:space="0" w:color="auto"/>
          </w:divBdr>
          <w:divsChild>
            <w:div w:id="708141188">
              <w:marLeft w:val="0"/>
              <w:marRight w:val="0"/>
              <w:marTop w:val="113"/>
              <w:marBottom w:val="0"/>
              <w:divBdr>
                <w:top w:val="none" w:sz="0" w:space="0" w:color="auto"/>
                <w:left w:val="none" w:sz="0" w:space="0" w:color="auto"/>
                <w:bottom w:val="none" w:sz="0" w:space="0" w:color="auto"/>
                <w:right w:val="none" w:sz="0" w:space="0" w:color="auto"/>
              </w:divBdr>
            </w:div>
            <w:div w:id="1519273630">
              <w:marLeft w:val="0"/>
              <w:marRight w:val="0"/>
              <w:marTop w:val="57"/>
              <w:marBottom w:val="0"/>
              <w:divBdr>
                <w:top w:val="none" w:sz="0" w:space="0" w:color="auto"/>
                <w:left w:val="none" w:sz="0" w:space="0" w:color="auto"/>
                <w:bottom w:val="none" w:sz="0" w:space="0" w:color="auto"/>
                <w:right w:val="none" w:sz="0" w:space="0" w:color="auto"/>
              </w:divBdr>
            </w:div>
            <w:div w:id="809518356">
              <w:marLeft w:val="0"/>
              <w:marRight w:val="0"/>
              <w:marTop w:val="113"/>
              <w:marBottom w:val="57"/>
              <w:divBdr>
                <w:top w:val="none" w:sz="0" w:space="0" w:color="auto"/>
                <w:left w:val="none" w:sz="0" w:space="0" w:color="auto"/>
                <w:bottom w:val="none" w:sz="0" w:space="0" w:color="auto"/>
                <w:right w:val="none" w:sz="0" w:space="0" w:color="auto"/>
              </w:divBdr>
            </w:div>
            <w:div w:id="1018046248">
              <w:marLeft w:val="0"/>
              <w:marRight w:val="0"/>
              <w:marTop w:val="57"/>
              <w:marBottom w:val="0"/>
              <w:divBdr>
                <w:top w:val="none" w:sz="0" w:space="0" w:color="auto"/>
                <w:left w:val="none" w:sz="0" w:space="0" w:color="auto"/>
                <w:bottom w:val="none" w:sz="0" w:space="0" w:color="auto"/>
                <w:right w:val="none" w:sz="0" w:space="0" w:color="auto"/>
              </w:divBdr>
            </w:div>
            <w:div w:id="857044022">
              <w:marLeft w:val="0"/>
              <w:marRight w:val="0"/>
              <w:marTop w:val="57"/>
              <w:marBottom w:val="0"/>
              <w:divBdr>
                <w:top w:val="none" w:sz="0" w:space="0" w:color="auto"/>
                <w:left w:val="none" w:sz="0" w:space="0" w:color="auto"/>
                <w:bottom w:val="none" w:sz="0" w:space="0" w:color="auto"/>
                <w:right w:val="none" w:sz="0" w:space="0" w:color="auto"/>
              </w:divBdr>
            </w:div>
            <w:div w:id="1980645705">
              <w:marLeft w:val="0"/>
              <w:marRight w:val="0"/>
              <w:marTop w:val="57"/>
              <w:marBottom w:val="0"/>
              <w:divBdr>
                <w:top w:val="none" w:sz="0" w:space="0" w:color="auto"/>
                <w:left w:val="none" w:sz="0" w:space="0" w:color="auto"/>
                <w:bottom w:val="none" w:sz="0" w:space="0" w:color="auto"/>
                <w:right w:val="none" w:sz="0" w:space="0" w:color="auto"/>
              </w:divBdr>
            </w:div>
            <w:div w:id="435829323">
              <w:marLeft w:val="0"/>
              <w:marRight w:val="0"/>
              <w:marTop w:val="28"/>
              <w:marBottom w:val="0"/>
              <w:divBdr>
                <w:top w:val="none" w:sz="0" w:space="0" w:color="auto"/>
                <w:left w:val="none" w:sz="0" w:space="0" w:color="auto"/>
                <w:bottom w:val="none" w:sz="0" w:space="0" w:color="auto"/>
                <w:right w:val="none" w:sz="0" w:space="0" w:color="auto"/>
              </w:divBdr>
            </w:div>
            <w:div w:id="1498611946">
              <w:marLeft w:val="0"/>
              <w:marRight w:val="0"/>
              <w:marTop w:val="113"/>
              <w:marBottom w:val="0"/>
              <w:divBdr>
                <w:top w:val="none" w:sz="0" w:space="0" w:color="auto"/>
                <w:left w:val="none" w:sz="0" w:space="0" w:color="auto"/>
                <w:bottom w:val="none" w:sz="0" w:space="0" w:color="auto"/>
                <w:right w:val="none" w:sz="0" w:space="0" w:color="auto"/>
              </w:divBdr>
            </w:div>
            <w:div w:id="636692313">
              <w:marLeft w:val="0"/>
              <w:marRight w:val="0"/>
              <w:marTop w:val="0"/>
              <w:marBottom w:val="113"/>
              <w:divBdr>
                <w:top w:val="none" w:sz="0" w:space="0" w:color="auto"/>
                <w:left w:val="none" w:sz="0" w:space="0" w:color="auto"/>
                <w:bottom w:val="none" w:sz="0" w:space="0" w:color="auto"/>
                <w:right w:val="none" w:sz="0" w:space="0" w:color="auto"/>
              </w:divBdr>
            </w:div>
            <w:div w:id="388697630">
              <w:marLeft w:val="0"/>
              <w:marRight w:val="0"/>
              <w:marTop w:val="85"/>
              <w:marBottom w:val="28"/>
              <w:divBdr>
                <w:top w:val="none" w:sz="0" w:space="0" w:color="auto"/>
                <w:left w:val="none" w:sz="0" w:space="0" w:color="auto"/>
                <w:bottom w:val="none" w:sz="0" w:space="0" w:color="auto"/>
                <w:right w:val="none" w:sz="0" w:space="0" w:color="auto"/>
              </w:divBdr>
            </w:div>
            <w:div w:id="257099942">
              <w:marLeft w:val="0"/>
              <w:marRight w:val="0"/>
              <w:marTop w:val="85"/>
              <w:marBottom w:val="28"/>
              <w:divBdr>
                <w:top w:val="none" w:sz="0" w:space="0" w:color="auto"/>
                <w:left w:val="none" w:sz="0" w:space="0" w:color="auto"/>
                <w:bottom w:val="none" w:sz="0" w:space="0" w:color="auto"/>
                <w:right w:val="none" w:sz="0" w:space="0" w:color="auto"/>
              </w:divBdr>
            </w:div>
            <w:div w:id="1646468045">
              <w:marLeft w:val="0"/>
              <w:marRight w:val="0"/>
              <w:marTop w:val="85"/>
              <w:marBottom w:val="28"/>
              <w:divBdr>
                <w:top w:val="none" w:sz="0" w:space="0" w:color="auto"/>
                <w:left w:val="none" w:sz="0" w:space="0" w:color="auto"/>
                <w:bottom w:val="none" w:sz="0" w:space="0" w:color="auto"/>
                <w:right w:val="none" w:sz="0" w:space="0" w:color="auto"/>
              </w:divBdr>
            </w:div>
            <w:div w:id="504981346">
              <w:marLeft w:val="0"/>
              <w:marRight w:val="0"/>
              <w:marTop w:val="85"/>
              <w:marBottom w:val="28"/>
              <w:divBdr>
                <w:top w:val="none" w:sz="0" w:space="0" w:color="auto"/>
                <w:left w:val="none" w:sz="0" w:space="0" w:color="auto"/>
                <w:bottom w:val="none" w:sz="0" w:space="0" w:color="auto"/>
                <w:right w:val="none" w:sz="0" w:space="0" w:color="auto"/>
              </w:divBdr>
            </w:div>
            <w:div w:id="1398626110">
              <w:marLeft w:val="0"/>
              <w:marRight w:val="0"/>
              <w:marTop w:val="85"/>
              <w:marBottom w:val="28"/>
              <w:divBdr>
                <w:top w:val="none" w:sz="0" w:space="0" w:color="auto"/>
                <w:left w:val="none" w:sz="0" w:space="0" w:color="auto"/>
                <w:bottom w:val="none" w:sz="0" w:space="0" w:color="auto"/>
                <w:right w:val="none" w:sz="0" w:space="0" w:color="auto"/>
              </w:divBdr>
            </w:div>
            <w:div w:id="96217987">
              <w:marLeft w:val="0"/>
              <w:marRight w:val="0"/>
              <w:marTop w:val="113"/>
              <w:marBottom w:val="57"/>
              <w:divBdr>
                <w:top w:val="none" w:sz="0" w:space="0" w:color="auto"/>
                <w:left w:val="none" w:sz="0" w:space="0" w:color="auto"/>
                <w:bottom w:val="none" w:sz="0" w:space="0" w:color="auto"/>
                <w:right w:val="none" w:sz="0" w:space="0" w:color="auto"/>
              </w:divBdr>
            </w:div>
            <w:div w:id="1270963449">
              <w:marLeft w:val="0"/>
              <w:marRight w:val="0"/>
              <w:marTop w:val="57"/>
              <w:marBottom w:val="0"/>
              <w:divBdr>
                <w:top w:val="none" w:sz="0" w:space="0" w:color="auto"/>
                <w:left w:val="none" w:sz="0" w:space="0" w:color="auto"/>
                <w:bottom w:val="none" w:sz="0" w:space="0" w:color="auto"/>
                <w:right w:val="none" w:sz="0" w:space="0" w:color="auto"/>
              </w:divBdr>
            </w:div>
            <w:div w:id="1361668314">
              <w:marLeft w:val="0"/>
              <w:marRight w:val="0"/>
              <w:marTop w:val="57"/>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12</Pages>
  <Words>7335</Words>
  <Characters>41810</Characters>
  <Application>Microsoft Office Word</Application>
  <DocSecurity>0</DocSecurity>
  <Lines>348</Lines>
  <Paragraphs>98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49047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NUS-2015</dc:creator>
  <cp:lastModifiedBy>nus_notebook2</cp:lastModifiedBy>
  <cp:revision>3</cp:revision>
  <dcterms:created xsi:type="dcterms:W3CDTF">2015-08-17T17:39:00Z</dcterms:created>
  <dcterms:modified xsi:type="dcterms:W3CDTF">2015-08-18T17:34:00Z</dcterms:modified>
</cp:coreProperties>
</file>